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58207FDF" w:rsidR="00CE5F5F" w:rsidRDefault="000C63E6" w:rsidP="00CE5F5F">
      <w:pPr>
        <w:tabs>
          <w:tab w:val="right" w:pos="10000"/>
        </w:tabs>
        <w:spacing w:after="0"/>
        <w:rPr>
          <w:rFonts w:ascii="Arial" w:hAnsi="Arial" w:cs="Arial"/>
          <w:b/>
          <w:sz w:val="24"/>
          <w:szCs w:val="24"/>
        </w:rPr>
      </w:pPr>
      <w:bookmarkStart w:id="0" w:name="_GoBack"/>
      <w:bookmarkEnd w:id="0"/>
      <w:r>
        <w:rPr>
          <w:rFonts w:ascii="Arial" w:hAnsi="Arial" w:cs="Arial"/>
          <w:b/>
          <w:sz w:val="24"/>
          <w:szCs w:val="24"/>
        </w:rPr>
        <w:t xml:space="preserve">3GPP TSG-RAN WG1 </w:t>
      </w:r>
      <w:r w:rsidR="00D35EA2" w:rsidRPr="00F01D01">
        <w:rPr>
          <w:rFonts w:ascii="Arial" w:hAnsi="Arial" w:cs="Arial"/>
          <w:b/>
          <w:sz w:val="24"/>
          <w:szCs w:val="24"/>
        </w:rPr>
        <w:t xml:space="preserve">NR </w:t>
      </w:r>
      <w:r w:rsidR="000F7E90">
        <w:rPr>
          <w:rFonts w:ascii="Arial" w:hAnsi="Arial" w:cs="Arial"/>
          <w:b/>
          <w:sz w:val="24"/>
          <w:szCs w:val="24"/>
        </w:rPr>
        <w:t>AdHoc #3</w:t>
      </w:r>
      <w:r w:rsidR="00CE5F5F">
        <w:rPr>
          <w:rFonts w:ascii="Arial" w:hAnsi="Arial" w:cs="Arial"/>
          <w:b/>
          <w:sz w:val="24"/>
          <w:szCs w:val="24"/>
        </w:rPr>
        <w:tab/>
      </w:r>
      <w:r w:rsidR="000F7E90" w:rsidRPr="000F7E90">
        <w:rPr>
          <w:rFonts w:ascii="Arial" w:hAnsi="Arial" w:cs="Arial"/>
          <w:b/>
          <w:sz w:val="24"/>
          <w:szCs w:val="24"/>
        </w:rPr>
        <w:t>R1-1716432</w:t>
      </w:r>
    </w:p>
    <w:p w14:paraId="3E59845C" w14:textId="6D0FF36D" w:rsidR="00405FE5" w:rsidRPr="00405FE5" w:rsidRDefault="000F7E90" w:rsidP="00405FE5">
      <w:pPr>
        <w:tabs>
          <w:tab w:val="right" w:pos="10000"/>
        </w:tabs>
        <w:spacing w:after="0"/>
        <w:rPr>
          <w:rFonts w:ascii="Arial" w:hAnsi="Arial" w:cs="Arial"/>
          <w:b/>
          <w:sz w:val="24"/>
          <w:szCs w:val="24"/>
        </w:rPr>
      </w:pPr>
      <w:r>
        <w:rPr>
          <w:rFonts w:ascii="Arial" w:hAnsi="Arial" w:cs="Arial"/>
          <w:b/>
          <w:sz w:val="24"/>
          <w:szCs w:val="24"/>
        </w:rPr>
        <w:t>18</w:t>
      </w:r>
      <w:r w:rsidR="00405FE5" w:rsidRPr="00405FE5">
        <w:rPr>
          <w:rFonts w:ascii="Arial" w:hAnsi="Arial" w:cs="Arial"/>
          <w:b/>
          <w:sz w:val="24"/>
          <w:szCs w:val="24"/>
        </w:rPr>
        <w:t>t</w:t>
      </w:r>
      <w:r>
        <w:rPr>
          <w:rFonts w:ascii="Arial" w:hAnsi="Arial" w:cs="Arial"/>
          <w:b/>
          <w:sz w:val="24"/>
          <w:szCs w:val="24"/>
        </w:rPr>
        <w:t>h</w:t>
      </w:r>
      <w:r w:rsidR="00405FE5" w:rsidRPr="00405FE5">
        <w:rPr>
          <w:rFonts w:ascii="Arial" w:hAnsi="Arial" w:cs="Arial"/>
          <w:b/>
          <w:sz w:val="24"/>
          <w:szCs w:val="24"/>
        </w:rPr>
        <w:t xml:space="preserve"> – 2</w:t>
      </w:r>
      <w:r>
        <w:rPr>
          <w:rFonts w:ascii="Arial" w:hAnsi="Arial" w:cs="Arial"/>
          <w:b/>
          <w:sz w:val="24"/>
          <w:szCs w:val="24"/>
        </w:rPr>
        <w:t>1st</w:t>
      </w:r>
      <w:r w:rsidR="00405FE5" w:rsidRPr="00405FE5">
        <w:rPr>
          <w:rFonts w:ascii="Arial" w:hAnsi="Arial" w:cs="Arial"/>
          <w:b/>
          <w:sz w:val="24"/>
          <w:szCs w:val="24"/>
        </w:rPr>
        <w:t xml:space="preserve"> </w:t>
      </w:r>
      <w:r>
        <w:rPr>
          <w:rFonts w:ascii="Arial" w:hAnsi="Arial" w:cs="Arial"/>
          <w:b/>
          <w:sz w:val="24"/>
          <w:szCs w:val="24"/>
        </w:rPr>
        <w:t>September</w:t>
      </w:r>
      <w:r w:rsidR="00405FE5" w:rsidRPr="00405FE5">
        <w:rPr>
          <w:rFonts w:ascii="Arial" w:hAnsi="Arial" w:cs="Arial"/>
          <w:b/>
          <w:sz w:val="24"/>
          <w:szCs w:val="24"/>
        </w:rPr>
        <w:t xml:space="preserve"> 2017</w:t>
      </w:r>
    </w:p>
    <w:p w14:paraId="5EC9F255" w14:textId="03345A53" w:rsidR="00405FE5" w:rsidDel="00D35EA2" w:rsidRDefault="000F7E90" w:rsidP="00405FE5">
      <w:pPr>
        <w:tabs>
          <w:tab w:val="right" w:pos="10000"/>
        </w:tabs>
        <w:spacing w:after="0"/>
        <w:rPr>
          <w:rFonts w:ascii="Arial" w:hAnsi="Arial" w:cs="Arial"/>
          <w:b/>
          <w:sz w:val="24"/>
          <w:szCs w:val="24"/>
        </w:rPr>
      </w:pPr>
      <w:r>
        <w:rPr>
          <w:rFonts w:ascii="Arial" w:hAnsi="Arial" w:cs="Arial"/>
          <w:b/>
          <w:sz w:val="24"/>
          <w:szCs w:val="24"/>
        </w:rPr>
        <w:t>Nagoya, Japan</w:t>
      </w:r>
    </w:p>
    <w:p w14:paraId="2E426516" w14:textId="49698006" w:rsidR="000C63E6" w:rsidRPr="000C63E6" w:rsidRDefault="00D35EA2" w:rsidP="00463687">
      <w:pPr>
        <w:tabs>
          <w:tab w:val="right" w:pos="10000"/>
        </w:tabs>
        <w:spacing w:after="0"/>
        <w:rPr>
          <w:rFonts w:ascii="Arial" w:hAnsi="Arial" w:cs="Arial"/>
          <w:b/>
          <w:sz w:val="24"/>
          <w:szCs w:val="24"/>
        </w:rPr>
      </w:pPr>
      <w:r w:rsidDel="00D35EA2">
        <w:rPr>
          <w:rFonts w:ascii="Arial" w:hAnsi="Arial" w:cs="Arial"/>
          <w:b/>
          <w:sz w:val="24"/>
          <w:szCs w:val="24"/>
        </w:rPr>
        <w:t xml:space="preserve"> </w:t>
      </w:r>
    </w:p>
    <w:p w14:paraId="2F2D8718" w14:textId="77777777" w:rsidR="00CE5F5F" w:rsidRDefault="00CE5F5F" w:rsidP="00CE5F5F">
      <w:pPr>
        <w:pStyle w:val="Footer"/>
        <w:jc w:val="both"/>
        <w:rPr>
          <w:noProof w:val="0"/>
        </w:rPr>
      </w:pPr>
    </w:p>
    <w:p w14:paraId="00A480DC" w14:textId="4C0E1457" w:rsidR="00CE5F5F" w:rsidRDefault="00CE5F5F" w:rsidP="00CE5F5F">
      <w:pPr>
        <w:tabs>
          <w:tab w:val="left" w:pos="1985"/>
        </w:tabs>
        <w:jc w:val="both"/>
        <w:rPr>
          <w:rFonts w:ascii="Arial" w:hAnsi="Arial"/>
          <w:sz w:val="24"/>
        </w:rPr>
      </w:pPr>
      <w:r>
        <w:rPr>
          <w:rFonts w:ascii="Arial" w:hAnsi="Arial"/>
          <w:b/>
          <w:sz w:val="24"/>
        </w:rPr>
        <w:t>Agenda item:</w:t>
      </w:r>
      <w:r w:rsidR="000C63E6">
        <w:rPr>
          <w:rFonts w:ascii="Arial" w:hAnsi="Arial"/>
          <w:sz w:val="24"/>
        </w:rPr>
        <w:tab/>
      </w:r>
      <w:r w:rsidR="00405FE5" w:rsidRPr="00405FE5">
        <w:rPr>
          <w:rFonts w:ascii="Arial" w:hAnsi="Arial"/>
          <w:sz w:val="24"/>
        </w:rPr>
        <w:t>6.</w:t>
      </w:r>
      <w:r w:rsidR="000F7E90">
        <w:rPr>
          <w:rFonts w:ascii="Arial" w:hAnsi="Arial"/>
          <w:sz w:val="24"/>
        </w:rPr>
        <w:t>3.3.5</w:t>
      </w:r>
    </w:p>
    <w:p w14:paraId="41F022EE" w14:textId="77777777" w:rsidR="00CE5F5F" w:rsidRDefault="00CE5F5F" w:rsidP="00CE5F5F">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1DA708F2" w14:textId="26EEA766" w:rsidR="0045039C" w:rsidRPr="009C6BE8" w:rsidRDefault="0045039C" w:rsidP="0045039C">
      <w:pPr>
        <w:ind w:left="1988" w:hanging="1988"/>
        <w:rPr>
          <w:rFonts w:ascii="Arial" w:hAnsi="Arial"/>
          <w:sz w:val="24"/>
        </w:rPr>
      </w:pPr>
      <w:r w:rsidRPr="00E05BD3">
        <w:rPr>
          <w:rFonts w:ascii="Arial" w:hAnsi="Arial"/>
          <w:b/>
          <w:sz w:val="28"/>
        </w:rPr>
        <w:t>Title:</w:t>
      </w:r>
      <w:r w:rsidRPr="00E05BD3">
        <w:rPr>
          <w:rFonts w:ascii="Arial" w:hAnsi="Arial"/>
          <w:sz w:val="28"/>
        </w:rPr>
        <w:t xml:space="preserve"> </w:t>
      </w:r>
      <w:r w:rsidRPr="00E05BD3">
        <w:rPr>
          <w:rFonts w:ascii="Arial" w:hAnsi="Arial"/>
          <w:sz w:val="24"/>
        </w:rPr>
        <w:tab/>
      </w:r>
      <w:r w:rsidR="00D35EA2" w:rsidRPr="00D35EA2">
        <w:rPr>
          <w:rFonts w:ascii="Arial" w:hAnsi="Arial"/>
          <w:sz w:val="24"/>
        </w:rPr>
        <w:t>Considerations for soft buffer management</w:t>
      </w:r>
      <w:r w:rsidR="00D35EA2" w:rsidRPr="00D35EA2" w:rsidDel="00D35EA2">
        <w:rPr>
          <w:rFonts w:ascii="Arial" w:hAnsi="Arial"/>
          <w:sz w:val="24"/>
        </w:rPr>
        <w:t xml:space="preserve"> </w:t>
      </w:r>
    </w:p>
    <w:p w14:paraId="2C0EDD71" w14:textId="343E1CF9" w:rsidR="0045039C" w:rsidRPr="009C6BE8" w:rsidRDefault="0045039C" w:rsidP="0045039C">
      <w:pPr>
        <w:ind w:left="1988" w:hanging="1988"/>
        <w:jc w:val="both"/>
        <w:rPr>
          <w:rFonts w:ascii="Arial" w:hAnsi="Arial"/>
          <w:sz w:val="24"/>
        </w:rPr>
      </w:pPr>
      <w:r w:rsidRPr="009C6BE8">
        <w:rPr>
          <w:rFonts w:ascii="Arial" w:hAnsi="Arial"/>
          <w:b/>
          <w:sz w:val="24"/>
        </w:rPr>
        <w:t>Document for:</w:t>
      </w:r>
      <w:r w:rsidRPr="009C6BE8">
        <w:rPr>
          <w:rFonts w:ascii="Arial" w:hAnsi="Arial"/>
          <w:sz w:val="24"/>
        </w:rPr>
        <w:tab/>
        <w:t>Discussion/Decision</w:t>
      </w:r>
    </w:p>
    <w:p w14:paraId="031A1C66" w14:textId="2BC107D6" w:rsidR="001F2982" w:rsidRPr="00E05BD3" w:rsidRDefault="001229D6" w:rsidP="0088176C">
      <w:pPr>
        <w:pStyle w:val="Heading1"/>
        <w:rPr>
          <w:sz w:val="40"/>
          <w:lang w:val="en-US"/>
        </w:rPr>
      </w:pPr>
      <w:r>
        <w:rPr>
          <w:sz w:val="40"/>
          <w:lang w:val="en-US"/>
        </w:rPr>
        <w:t>Introduction</w:t>
      </w:r>
    </w:p>
    <w:p w14:paraId="718CADE6" w14:textId="23D0293A" w:rsidR="005418BA" w:rsidRDefault="00F34514" w:rsidP="002C6424">
      <w:r w:rsidRPr="006164DD">
        <w:t xml:space="preserve">In </w:t>
      </w:r>
      <w:r w:rsidR="0040609D" w:rsidRPr="006164DD">
        <w:t xml:space="preserve">RAN1 </w:t>
      </w:r>
      <w:r w:rsidR="005418BA" w:rsidRPr="006164DD">
        <w:t>#8</w:t>
      </w:r>
      <w:r w:rsidR="00D35EA2">
        <w:t xml:space="preserve">9 </w:t>
      </w:r>
      <w:r w:rsidR="005418BA" w:rsidRPr="006164DD">
        <w:t>meeting</w:t>
      </w:r>
      <w:r w:rsidR="0040609D" w:rsidRPr="006164DD">
        <w:t xml:space="preserve">, the working group reached </w:t>
      </w:r>
      <w:r w:rsidR="00695D23" w:rsidRPr="006164DD">
        <w:t xml:space="preserve">the </w:t>
      </w:r>
      <w:r w:rsidR="0040609D" w:rsidRPr="006164DD">
        <w:t xml:space="preserve">following agreements </w:t>
      </w:r>
      <w:r w:rsidR="00414598" w:rsidRPr="006164DD">
        <w:t>regarding</w:t>
      </w:r>
      <w:r w:rsidR="0040609D" w:rsidRPr="006164DD">
        <w:t xml:space="preserve"> </w:t>
      </w:r>
      <w:r w:rsidR="00D35EA2">
        <w:t xml:space="preserve">HARQ soft buffer dimensioning and </w:t>
      </w:r>
      <w:r w:rsidR="0040609D" w:rsidRPr="006164DD">
        <w:t>the number of HARQ processes</w:t>
      </w:r>
      <w:r w:rsidR="006B2B7B">
        <w:t xml:space="preserve"> </w:t>
      </w:r>
      <w:r w:rsidR="006B2B7B">
        <w:fldChar w:fldCharType="begin"/>
      </w:r>
      <w:r w:rsidR="006B2B7B">
        <w:instrText xml:space="preserve"> REF _Ref492904502 \r \h </w:instrText>
      </w:r>
      <w:r w:rsidR="006B2B7B">
        <w:fldChar w:fldCharType="separate"/>
      </w:r>
      <w:r w:rsidR="006B2B7B">
        <w:t>[1]</w:t>
      </w:r>
      <w:r w:rsidR="006B2B7B">
        <w:fldChar w:fldCharType="end"/>
      </w:r>
      <w:r w:rsidR="0040609D" w:rsidRPr="006164DD">
        <w:t>.</w:t>
      </w:r>
    </w:p>
    <w:p w14:paraId="27A62183" w14:textId="3681306C" w:rsidR="00D35EA2" w:rsidRPr="002C6424" w:rsidRDefault="00D35EA2" w:rsidP="002C6424">
      <w:pPr>
        <w:pStyle w:val="ListParagraph"/>
        <w:numPr>
          <w:ilvl w:val="0"/>
          <w:numId w:val="9"/>
        </w:numPr>
        <w:rPr>
          <w:rFonts w:eastAsia="MS Mincho"/>
          <w:iCs/>
          <w:lang w:eastAsia="ja-JP"/>
        </w:rPr>
      </w:pPr>
      <w:r w:rsidRPr="002C6424">
        <w:rPr>
          <w:rFonts w:eastAsia="MS Mincho"/>
          <w:iCs/>
          <w:lang w:eastAsia="ja-JP"/>
        </w:rPr>
        <w:t>A set of reference parameters is used for the purpose of soft buffer dimensioning</w:t>
      </w:r>
    </w:p>
    <w:p w14:paraId="2B6062ED" w14:textId="17670080" w:rsidR="00D35EA2" w:rsidRPr="002C6424" w:rsidRDefault="00D35EA2" w:rsidP="002C6424">
      <w:pPr>
        <w:pStyle w:val="ListParagraph"/>
        <w:numPr>
          <w:ilvl w:val="1"/>
          <w:numId w:val="9"/>
        </w:numPr>
        <w:rPr>
          <w:rFonts w:eastAsia="MS Mincho"/>
          <w:iCs/>
          <w:lang w:eastAsia="ja-JP"/>
        </w:rPr>
      </w:pPr>
      <w:r w:rsidRPr="002C6424">
        <w:rPr>
          <w:rFonts w:eastAsia="MS Mincho"/>
          <w:iCs/>
          <w:lang w:eastAsia="ja-JP"/>
        </w:rPr>
        <w:t>A reference set of parameters includes at least DL HARQ RTT [</w:t>
      </w:r>
      <w:r w:rsidRPr="002C6424">
        <w:rPr>
          <w:rFonts w:eastAsia="MS Mincho"/>
          <w:i/>
          <w:iCs/>
          <w:lang w:eastAsia="ja-JP"/>
        </w:rPr>
        <w:t>Y</w:t>
      </w:r>
      <w:r w:rsidRPr="002C6424">
        <w:rPr>
          <w:rFonts w:eastAsia="MS Mincho"/>
          <w:iCs/>
          <w:lang w:eastAsia="ja-JP"/>
        </w:rPr>
        <w:t xml:space="preserve"> ms] and data rate(s) of </w:t>
      </w:r>
      <w:r w:rsidRPr="002C6424">
        <w:rPr>
          <w:rFonts w:eastAsia="MS Mincho"/>
          <w:i/>
          <w:iCs/>
          <w:lang w:eastAsia="ja-JP"/>
        </w:rPr>
        <w:t>X</w:t>
      </w:r>
      <w:r w:rsidRPr="002C6424">
        <w:rPr>
          <w:rFonts w:eastAsia="MS Mincho"/>
          <w:iCs/>
          <w:lang w:eastAsia="ja-JP"/>
        </w:rPr>
        <w:t xml:space="preserve"> Gbps </w:t>
      </w:r>
    </w:p>
    <w:p w14:paraId="2BBFEAC0" w14:textId="245C4856" w:rsidR="00D35EA2" w:rsidRPr="002C6424" w:rsidRDefault="00D35EA2" w:rsidP="002C6424">
      <w:pPr>
        <w:pStyle w:val="ListParagraph"/>
        <w:numPr>
          <w:ilvl w:val="1"/>
          <w:numId w:val="9"/>
        </w:numPr>
        <w:rPr>
          <w:rFonts w:eastAsia="MS Mincho"/>
          <w:iCs/>
          <w:lang w:eastAsia="ja-JP"/>
        </w:rPr>
      </w:pPr>
      <w:r w:rsidRPr="002C6424">
        <w:rPr>
          <w:rFonts w:eastAsia="MS Mincho"/>
          <w:iCs/>
          <w:lang w:eastAsia="ja-JP"/>
        </w:rPr>
        <w:t xml:space="preserve">FFS: values of </w:t>
      </w:r>
      <w:r w:rsidRPr="002C6424">
        <w:rPr>
          <w:rFonts w:eastAsia="MS Mincho"/>
          <w:i/>
          <w:iCs/>
          <w:lang w:eastAsia="ja-JP"/>
        </w:rPr>
        <w:t>X</w:t>
      </w:r>
      <w:r w:rsidRPr="002C6424">
        <w:rPr>
          <w:rFonts w:eastAsia="MS Mincho"/>
          <w:iCs/>
          <w:lang w:eastAsia="ja-JP"/>
        </w:rPr>
        <w:t xml:space="preserve"> and </w:t>
      </w:r>
      <w:r w:rsidRPr="002C6424">
        <w:rPr>
          <w:rFonts w:eastAsia="MS Mincho"/>
          <w:i/>
          <w:iCs/>
          <w:lang w:eastAsia="ja-JP"/>
        </w:rPr>
        <w:t>Y</w:t>
      </w:r>
    </w:p>
    <w:p w14:paraId="7C9D9A9E" w14:textId="69DD917F" w:rsidR="00D35EA2" w:rsidRPr="002C6424" w:rsidRDefault="00D35EA2" w:rsidP="002C6424">
      <w:pPr>
        <w:pStyle w:val="ListParagraph"/>
        <w:numPr>
          <w:ilvl w:val="1"/>
          <w:numId w:val="9"/>
        </w:numPr>
        <w:rPr>
          <w:rFonts w:eastAsia="MS Mincho"/>
          <w:iCs/>
          <w:lang w:eastAsia="ja-JP"/>
        </w:rPr>
      </w:pPr>
      <w:r w:rsidRPr="002C6424">
        <w:rPr>
          <w:rFonts w:eastAsia="MS Mincho"/>
          <w:iCs/>
          <w:lang w:eastAsia="ja-JP"/>
        </w:rPr>
        <w:t>FFS: other conditions</w:t>
      </w:r>
    </w:p>
    <w:p w14:paraId="45419B8E" w14:textId="1AF4AAF9" w:rsidR="00D35EA2" w:rsidRPr="002C6424" w:rsidRDefault="00D35EA2" w:rsidP="002C6424">
      <w:pPr>
        <w:pStyle w:val="ListParagraph"/>
        <w:numPr>
          <w:ilvl w:val="1"/>
          <w:numId w:val="9"/>
        </w:numPr>
        <w:rPr>
          <w:rFonts w:eastAsia="MS Mincho"/>
          <w:iCs/>
          <w:lang w:eastAsia="ja-JP"/>
        </w:rPr>
      </w:pPr>
      <w:r w:rsidRPr="002C6424">
        <w:rPr>
          <w:rFonts w:eastAsia="MS Mincho"/>
          <w:iCs/>
          <w:lang w:eastAsia="ja-JP"/>
        </w:rPr>
        <w:t>This does not imply UE has to have a HARQ-ACK timing based on the reference HARQ RTT</w:t>
      </w:r>
    </w:p>
    <w:p w14:paraId="00F96FAE" w14:textId="1D48C10E" w:rsidR="00D35EA2" w:rsidRPr="002C6424" w:rsidRDefault="00D35EA2" w:rsidP="002C6424">
      <w:pPr>
        <w:pStyle w:val="ListParagraph"/>
        <w:numPr>
          <w:ilvl w:val="1"/>
          <w:numId w:val="9"/>
        </w:numPr>
        <w:rPr>
          <w:rFonts w:eastAsia="MS Mincho"/>
          <w:iCs/>
          <w:lang w:eastAsia="ja-JP"/>
        </w:rPr>
      </w:pPr>
      <w:r w:rsidRPr="002C6424">
        <w:rPr>
          <w:rFonts w:eastAsia="MS Mincho"/>
          <w:iCs/>
          <w:lang w:eastAsia="ja-JP"/>
        </w:rPr>
        <w:t>FFS: how different UE categories are defined</w:t>
      </w:r>
    </w:p>
    <w:p w14:paraId="7C3E188F" w14:textId="644C150F" w:rsidR="00D35EA2" w:rsidRPr="002C6424" w:rsidRDefault="00D35EA2" w:rsidP="002C6424">
      <w:pPr>
        <w:pStyle w:val="ListParagraph"/>
        <w:numPr>
          <w:ilvl w:val="1"/>
          <w:numId w:val="9"/>
        </w:numPr>
        <w:rPr>
          <w:rFonts w:eastAsia="MS Mincho"/>
          <w:iCs/>
          <w:lang w:eastAsia="ja-JP"/>
        </w:rPr>
      </w:pPr>
      <w:r w:rsidRPr="002C6424">
        <w:rPr>
          <w:rFonts w:eastAsia="MS Mincho"/>
          <w:iCs/>
          <w:lang w:eastAsia="ja-JP"/>
        </w:rPr>
        <w:t>LBRM is taken into account</w:t>
      </w:r>
    </w:p>
    <w:p w14:paraId="7541288C" w14:textId="101AAC14" w:rsidR="00D35EA2" w:rsidRPr="002C6424" w:rsidRDefault="00D35EA2" w:rsidP="002C6424">
      <w:pPr>
        <w:pStyle w:val="ListParagraph"/>
        <w:numPr>
          <w:ilvl w:val="0"/>
          <w:numId w:val="9"/>
        </w:numPr>
        <w:rPr>
          <w:rFonts w:eastAsia="MS Mincho"/>
          <w:iCs/>
          <w:lang w:eastAsia="ja-JP"/>
        </w:rPr>
      </w:pPr>
      <w:r w:rsidRPr="002C6424">
        <w:rPr>
          <w:rFonts w:eastAsia="MS Mincho"/>
          <w:iCs/>
          <w:lang w:eastAsia="ja-JP"/>
        </w:rPr>
        <w:t xml:space="preserve">Maximum number of HARQ processes per carrier supported in NR is 8 or 16 </w:t>
      </w:r>
    </w:p>
    <w:p w14:paraId="5FBD7F50" w14:textId="34C99911" w:rsidR="00D35EA2" w:rsidRPr="002C6424" w:rsidRDefault="00D35EA2" w:rsidP="002C6424">
      <w:pPr>
        <w:pStyle w:val="ListParagraph"/>
        <w:numPr>
          <w:ilvl w:val="1"/>
          <w:numId w:val="9"/>
        </w:numPr>
        <w:rPr>
          <w:rFonts w:eastAsia="MS Mincho"/>
          <w:iCs/>
          <w:lang w:eastAsia="ja-JP"/>
        </w:rPr>
      </w:pPr>
      <w:r w:rsidRPr="002C6424">
        <w:rPr>
          <w:rFonts w:eastAsia="MS Mincho"/>
          <w:iCs/>
          <w:lang w:eastAsia="ja-JP"/>
        </w:rPr>
        <w:t>This is at least for the single numerology case and a slot-level scheduling and single-TRxP transmission</w:t>
      </w:r>
    </w:p>
    <w:p w14:paraId="03CA1508" w14:textId="5B7AECD6" w:rsidR="00D35EA2" w:rsidRPr="002C6424" w:rsidRDefault="00D35EA2" w:rsidP="002C6424">
      <w:pPr>
        <w:pStyle w:val="ListParagraph"/>
        <w:numPr>
          <w:ilvl w:val="1"/>
          <w:numId w:val="9"/>
        </w:numPr>
        <w:rPr>
          <w:rFonts w:eastAsia="MS Mincho"/>
          <w:iCs/>
          <w:lang w:eastAsia="ja-JP"/>
        </w:rPr>
      </w:pPr>
      <w:r w:rsidRPr="002C6424">
        <w:rPr>
          <w:rFonts w:eastAsia="MS Mincho"/>
          <w:iCs/>
          <w:lang w:eastAsia="ja-JP"/>
        </w:rPr>
        <w:t>FFS: down-selection of 8 or 16</w:t>
      </w:r>
    </w:p>
    <w:p w14:paraId="7A9575C5" w14:textId="12DA2D8C" w:rsidR="00D35EA2" w:rsidRPr="002C6424" w:rsidRDefault="00D35EA2" w:rsidP="002C6424">
      <w:pPr>
        <w:pStyle w:val="ListParagraph"/>
        <w:numPr>
          <w:ilvl w:val="1"/>
          <w:numId w:val="9"/>
        </w:numPr>
        <w:rPr>
          <w:rFonts w:eastAsia="MS Mincho"/>
          <w:iCs/>
          <w:lang w:eastAsia="ja-JP"/>
        </w:rPr>
      </w:pPr>
      <w:r w:rsidRPr="002C6424">
        <w:rPr>
          <w:rFonts w:eastAsia="MS Mincho"/>
          <w:iCs/>
          <w:lang w:eastAsia="ja-JP"/>
        </w:rPr>
        <w:t>FFS: soft-buffer handling</w:t>
      </w:r>
    </w:p>
    <w:p w14:paraId="270782A7" w14:textId="6687713C" w:rsidR="005F5AE1" w:rsidRDefault="00D35EA2" w:rsidP="002C6424">
      <w:pPr>
        <w:pStyle w:val="ListParagraph"/>
        <w:numPr>
          <w:ilvl w:val="0"/>
          <w:numId w:val="9"/>
        </w:numPr>
      </w:pPr>
      <w:r w:rsidRPr="002C6424">
        <w:rPr>
          <w:rFonts w:eastAsia="MS Mincho"/>
          <w:iCs/>
          <w:lang w:eastAsia="ja-JP"/>
        </w:rPr>
        <w:t>FFS: the value may be different depending on a certain condition (e.g., subcarrier spacing)</w:t>
      </w:r>
      <w:r w:rsidDel="00D35EA2">
        <w:t xml:space="preserve"> </w:t>
      </w:r>
    </w:p>
    <w:p w14:paraId="750FF139" w14:textId="77777777" w:rsidR="002C6424" w:rsidRPr="002C6424" w:rsidRDefault="002C6424" w:rsidP="002C6424">
      <w:pPr>
        <w:ind w:left="360"/>
        <w:rPr>
          <w:sz w:val="22"/>
        </w:rPr>
      </w:pPr>
    </w:p>
    <w:p w14:paraId="299EA060" w14:textId="12B14983" w:rsidR="002C6424" w:rsidRDefault="002C6424" w:rsidP="002C6424">
      <w:r>
        <w:t xml:space="preserve">Following in RAN1 #90, the working group reached an additional agreement on soft buffer management </w:t>
      </w:r>
      <w:r w:rsidR="006B2B7B">
        <w:fldChar w:fldCharType="begin"/>
      </w:r>
      <w:r w:rsidR="006B2B7B">
        <w:instrText xml:space="preserve"> REF _Ref492904488 \r \h </w:instrText>
      </w:r>
      <w:r w:rsidR="006B2B7B">
        <w:fldChar w:fldCharType="separate"/>
      </w:r>
      <w:r w:rsidR="006B2B7B">
        <w:t>[2]</w:t>
      </w:r>
      <w:r w:rsidR="006B2B7B">
        <w:fldChar w:fldCharType="end"/>
      </w:r>
      <w:r>
        <w:t xml:space="preserve">. </w:t>
      </w:r>
    </w:p>
    <w:p w14:paraId="692243E8" w14:textId="5976476A" w:rsidR="002C6424" w:rsidRDefault="002C6424" w:rsidP="002C6424">
      <w:pPr>
        <w:pStyle w:val="ListParagraph"/>
        <w:numPr>
          <w:ilvl w:val="0"/>
          <w:numId w:val="10"/>
        </w:numPr>
      </w:pPr>
      <w:r>
        <w:t>NR specification should decouple the transmit (or RV) buffer from soft buffer size of the UE receiver.</w:t>
      </w:r>
    </w:p>
    <w:p w14:paraId="5BC20583" w14:textId="70D7B010" w:rsidR="002C6424" w:rsidRDefault="002C6424" w:rsidP="002C6424">
      <w:pPr>
        <w:pStyle w:val="ListParagraph"/>
        <w:numPr>
          <w:ilvl w:val="1"/>
          <w:numId w:val="8"/>
        </w:numPr>
      </w:pPr>
      <w:r>
        <w:t>Note: transmit (or RV) buffer refers to the PDSCH rate-matching buffer</w:t>
      </w:r>
    </w:p>
    <w:p w14:paraId="1D8A4289" w14:textId="77777777" w:rsidR="003A42D1" w:rsidRDefault="003A42D1" w:rsidP="003A42D1"/>
    <w:p w14:paraId="49506499" w14:textId="069B9A8D" w:rsidR="00C2607B" w:rsidRDefault="001229D6" w:rsidP="00017928">
      <w:r w:rsidRPr="006164DD">
        <w:t xml:space="preserve">In this contribution, we </w:t>
      </w:r>
      <w:r w:rsidR="00540FFF">
        <w:t>first consider the aspect of limited buffer rate matching at the transmitter</w:t>
      </w:r>
      <w:r>
        <w:t xml:space="preserve"> </w:t>
      </w:r>
      <w:r w:rsidR="00540FFF">
        <w:t xml:space="preserve">which is de-coupled from the UE receiver yet accounts for the decoder throughput and soft buffer requirements needed for HARQ. We then discuss how a reference number of HARQ processes </w:t>
      </w:r>
      <w:r w:rsidR="005E1331">
        <w:t>and soft buffer should be dimensioned for the very high throughput cases in NR</w:t>
      </w:r>
      <w:r w:rsidR="00540FFF">
        <w:t>.</w:t>
      </w:r>
      <w:r w:rsidR="00F17026">
        <w:t xml:space="preserve"> Note this is a revision of </w:t>
      </w:r>
      <w:r w:rsidR="00F17026" w:rsidRPr="00005FE6">
        <w:rPr>
          <w:b/>
        </w:rPr>
        <w:t>R1-1713450</w:t>
      </w:r>
      <w:r w:rsidR="00F17026">
        <w:t xml:space="preserve"> from RAN1 #90, </w:t>
      </w:r>
      <w:r w:rsidR="008A6CA7">
        <w:t>with updated proposals</w:t>
      </w:r>
      <w:r w:rsidR="00F17026">
        <w:t xml:space="preserve"> to reflect </w:t>
      </w:r>
      <w:r w:rsidR="00CC6BDB">
        <w:t xml:space="preserve">the </w:t>
      </w:r>
      <w:r w:rsidR="00F17026">
        <w:t>latest agreements.</w:t>
      </w:r>
    </w:p>
    <w:p w14:paraId="334F2DF6" w14:textId="59582F58" w:rsidR="003A42D1" w:rsidRDefault="003A42D1" w:rsidP="003A42D1">
      <w:pPr>
        <w:pStyle w:val="Heading1"/>
      </w:pPr>
      <w:r>
        <w:t>Limited buffer rate matching</w:t>
      </w:r>
    </w:p>
    <w:p w14:paraId="271D2CB2" w14:textId="7AB1CD81" w:rsidR="00D77E07" w:rsidRDefault="00D77E07" w:rsidP="00D77E07">
      <w:pPr>
        <w:rPr>
          <w:lang w:val="en-GB"/>
        </w:rPr>
      </w:pPr>
      <w:r>
        <w:rPr>
          <w:lang w:val="en-GB"/>
        </w:rPr>
        <w:t>In this section, we first discuss the implementation aspects of rate matching, and the benefits from limiting the buffer size at peak spectral efficiencies on the slot. Then we provide performance comparison for different levels of buffering limitations, to arrive at some recommendations for optimal performance and implementation tradeoffs</w:t>
      </w:r>
    </w:p>
    <w:p w14:paraId="1225CCA5" w14:textId="106477B2" w:rsidR="00D77E07" w:rsidRPr="00D77E07" w:rsidRDefault="00D77E07" w:rsidP="00D77E07">
      <w:pPr>
        <w:pStyle w:val="Heading2"/>
      </w:pPr>
      <w:r>
        <w:lastRenderedPageBreak/>
        <w:t>Implementation aspects</w:t>
      </w:r>
    </w:p>
    <w:p w14:paraId="6212117D" w14:textId="722D9490" w:rsidR="006B2B7B" w:rsidRDefault="006B2B7B" w:rsidP="006B2B7B">
      <w:pPr>
        <w:rPr>
          <w:lang w:val="en-GB"/>
        </w:rPr>
      </w:pPr>
      <w:r>
        <w:rPr>
          <w:lang w:val="en-GB"/>
        </w:rPr>
        <w:t xml:space="preserve">For NR LDPC, each code block can support incremental redundancy </w:t>
      </w:r>
      <w:r w:rsidR="00F43127">
        <w:rPr>
          <w:lang w:val="en-GB"/>
        </w:rPr>
        <w:t xml:space="preserve">(IR) </w:t>
      </w:r>
      <w:r>
        <w:rPr>
          <w:lang w:val="en-GB"/>
        </w:rPr>
        <w:t xml:space="preserve">HARQ by generating more parity bits distinct from those sent in the </w:t>
      </w:r>
      <w:r w:rsidR="00F43127">
        <w:rPr>
          <w:lang w:val="en-GB"/>
        </w:rPr>
        <w:t>previous</w:t>
      </w:r>
      <w:r>
        <w:rPr>
          <w:lang w:val="en-GB"/>
        </w:rPr>
        <w:t xml:space="preserve"> transmission</w:t>
      </w:r>
      <w:r w:rsidR="00F43127">
        <w:rPr>
          <w:lang w:val="en-GB"/>
        </w:rPr>
        <w:t>(s)</w:t>
      </w:r>
      <w:r>
        <w:rPr>
          <w:lang w:val="en-GB"/>
        </w:rPr>
        <w:t xml:space="preserve">. </w:t>
      </w:r>
      <w:r w:rsidR="005706A9">
        <w:rPr>
          <w:lang w:val="en-GB"/>
        </w:rPr>
        <w:t>This can be supported through a circular buffer with different redundancy version (RV) start positions in the circular buffer</w:t>
      </w:r>
      <w:r w:rsidR="00BC3E63">
        <w:rPr>
          <w:lang w:val="en-GB"/>
        </w:rPr>
        <w:t xml:space="preserve"> </w:t>
      </w:r>
      <w:r w:rsidR="00377F06">
        <w:rPr>
          <w:lang w:val="en-GB"/>
        </w:rPr>
        <w:fldChar w:fldCharType="begin"/>
      </w:r>
      <w:r w:rsidR="00377F06">
        <w:rPr>
          <w:lang w:val="en-GB"/>
        </w:rPr>
        <w:instrText xml:space="preserve"> REF _Ref492910755 \r \h </w:instrText>
      </w:r>
      <w:r w:rsidR="00377F06">
        <w:rPr>
          <w:lang w:val="en-GB"/>
        </w:rPr>
      </w:r>
      <w:r w:rsidR="00377F06">
        <w:rPr>
          <w:lang w:val="en-GB"/>
        </w:rPr>
        <w:fldChar w:fldCharType="separate"/>
      </w:r>
      <w:r w:rsidR="00377F06">
        <w:rPr>
          <w:lang w:val="en-GB"/>
        </w:rPr>
        <w:t>[3]</w:t>
      </w:r>
      <w:r w:rsidR="00377F06">
        <w:rPr>
          <w:lang w:val="en-GB"/>
        </w:rPr>
        <w:fldChar w:fldCharType="end"/>
      </w:r>
      <w:r w:rsidR="005706A9">
        <w:rPr>
          <w:lang w:val="en-GB"/>
        </w:rPr>
        <w:t>. However, there are two important aspects which affect encoder and decoder implementations when supporting IR HARQ.</w:t>
      </w:r>
    </w:p>
    <w:p w14:paraId="2D2AAB38" w14:textId="2B5F735B" w:rsidR="001C00CD" w:rsidRDefault="001C00CD" w:rsidP="001C00CD">
      <w:pPr>
        <w:pStyle w:val="ListParagraph"/>
        <w:numPr>
          <w:ilvl w:val="0"/>
          <w:numId w:val="10"/>
        </w:numPr>
        <w:rPr>
          <w:lang w:val="en-GB"/>
        </w:rPr>
      </w:pPr>
      <w:r>
        <w:rPr>
          <w:lang w:val="en-GB"/>
        </w:rPr>
        <w:t>Buffering would be required to cover all of the coded bits involved in the transmission</w:t>
      </w:r>
    </w:p>
    <w:p w14:paraId="07D94480" w14:textId="0A421727" w:rsidR="001C00CD" w:rsidRDefault="001C00CD" w:rsidP="001C00CD">
      <w:pPr>
        <w:pStyle w:val="ListParagraph"/>
        <w:numPr>
          <w:ilvl w:val="0"/>
          <w:numId w:val="10"/>
        </w:numPr>
        <w:rPr>
          <w:lang w:val="en-GB"/>
        </w:rPr>
      </w:pPr>
      <w:r>
        <w:rPr>
          <w:lang w:val="en-GB"/>
        </w:rPr>
        <w:t>Decoder throughput dimensioning would need to handle processing all of the coded bits across all RVs</w:t>
      </w:r>
    </w:p>
    <w:p w14:paraId="49AE3CCF" w14:textId="4B3190A3" w:rsidR="001C00CD" w:rsidRDefault="001C00CD" w:rsidP="001C00CD">
      <w:pPr>
        <w:rPr>
          <w:lang w:val="en-GB"/>
        </w:rPr>
      </w:pPr>
    </w:p>
    <w:p w14:paraId="4786AB49" w14:textId="2F3542E4" w:rsidR="001C00CD" w:rsidRDefault="001C00CD" w:rsidP="001C00CD">
      <w:pPr>
        <w:rPr>
          <w:lang w:val="en-GB"/>
        </w:rPr>
      </w:pPr>
      <w:r>
        <w:rPr>
          <w:lang w:val="en-GB"/>
        </w:rPr>
        <w:t xml:space="preserve">As an example, suppose we provisioned the transmit buffer to allow transport blocks (TBs) sent at peak rate to allow for IR HARQ down only down to a code rate of 4/9 instead of the lowest allowable native code rate of 1/3 for NR Basegraph 1. This would allow the decoder buffer and throughput </w:t>
      </w:r>
      <w:r w:rsidR="00115EF8">
        <w:rPr>
          <w:lang w:val="en-GB"/>
        </w:rPr>
        <w:t>to limited in the worst case and thus reduce implementation complexity and cost</w:t>
      </w:r>
      <w:r>
        <w:rPr>
          <w:lang w:val="en-GB"/>
        </w:rPr>
        <w:t>.</w:t>
      </w:r>
    </w:p>
    <w:p w14:paraId="573CE859" w14:textId="0CE87560" w:rsidR="00A72FFD" w:rsidRPr="00E43E50" w:rsidRDefault="00970946" w:rsidP="001C00CD">
      <w:r>
        <w:rPr>
          <w:lang w:val="en-GB"/>
        </w:rPr>
        <w:t xml:space="preserve">This is </w:t>
      </w:r>
      <w:r>
        <w:t>illustrated below with a simple example. To the first order, the decoder throughput of the NR LDPC scales with the number of coded bits which need to be processed in the slot.</w:t>
      </w:r>
      <w:r w:rsidR="00AB08BE">
        <w:t xml:space="preserve"> (We omit</w:t>
      </w:r>
      <w:r w:rsidR="00EF4B21">
        <w:t xml:space="preserve"> second-order</w:t>
      </w:r>
      <w:r w:rsidR="00AB08BE">
        <w:t xml:space="preserve"> details related to number of code blocks </w:t>
      </w:r>
      <w:r w:rsidR="00F91D05">
        <w:t xml:space="preserve">from segmentation </w:t>
      </w:r>
      <w:r w:rsidR="00EF4B21">
        <w:t>to first make the point.)</w:t>
      </w:r>
      <w:r>
        <w:t xml:space="preserve"> As can be seen from the table, after HARQ there are more coded bits to be processed across the slot and therefore both the buffer size and decoding requirements are increased. Note that once the effective code rate is limited, then the IR HARQ performance is limited at the peak rate. However, for lower transmission rates such as code rate 0.44, we see that the </w:t>
      </w:r>
      <w:r w:rsidR="004326B5">
        <w:t xml:space="preserve">number of coded bits decreases relative to the worst case, as well as the decoder throughput. </w:t>
      </w:r>
    </w:p>
    <w:p w14:paraId="394E35F1" w14:textId="4B34AAA8" w:rsidR="004E241B" w:rsidRDefault="004E241B" w:rsidP="004E241B">
      <w:pPr>
        <w:pStyle w:val="Caption"/>
        <w:keepNext/>
        <w:jc w:val="center"/>
      </w:pPr>
      <w:r>
        <w:t xml:space="preserve">Table </w:t>
      </w:r>
      <w:fldSimple w:instr=" SEQ Table \* ARABIC ">
        <w:r>
          <w:rPr>
            <w:noProof/>
          </w:rPr>
          <w:t>1</w:t>
        </w:r>
      </w:fldSimple>
      <w:r>
        <w:t>. Decoder dimensioning for IR HARQ</w:t>
      </w:r>
      <w:r>
        <w:rPr>
          <w:noProof/>
        </w:rPr>
        <w:t xml:space="preserve"> (first-order)</w:t>
      </w:r>
    </w:p>
    <w:tbl>
      <w:tblPr>
        <w:tblStyle w:val="TableGrid"/>
        <w:tblW w:w="0" w:type="auto"/>
        <w:tblLook w:val="04A0" w:firstRow="1" w:lastRow="0" w:firstColumn="1" w:lastColumn="0" w:noHBand="0" w:noVBand="1"/>
      </w:tblPr>
      <w:tblGrid>
        <w:gridCol w:w="1100"/>
        <w:gridCol w:w="870"/>
        <w:gridCol w:w="847"/>
        <w:gridCol w:w="1374"/>
        <w:gridCol w:w="1420"/>
        <w:gridCol w:w="1398"/>
        <w:gridCol w:w="1420"/>
        <w:gridCol w:w="1443"/>
      </w:tblGrid>
      <w:tr w:rsidR="00115EF8" w:rsidRPr="00115EF8" w14:paraId="1CE7FD2A" w14:textId="77777777" w:rsidTr="00115EF8">
        <w:trPr>
          <w:trHeight w:val="909"/>
        </w:trPr>
        <w:tc>
          <w:tcPr>
            <w:tcW w:w="1100" w:type="dxa"/>
            <w:shd w:val="clear" w:color="auto" w:fill="DEEAF6" w:themeFill="accent1" w:themeFillTint="33"/>
            <w:vAlign w:val="bottom"/>
            <w:hideMark/>
          </w:tcPr>
          <w:p w14:paraId="3F67935F" w14:textId="77777777" w:rsidR="00115EF8" w:rsidRPr="00115EF8" w:rsidRDefault="00115EF8" w:rsidP="00115EF8">
            <w:pPr>
              <w:jc w:val="center"/>
              <w:rPr>
                <w:b/>
              </w:rPr>
            </w:pPr>
            <w:r w:rsidRPr="00115EF8">
              <w:rPr>
                <w:b/>
              </w:rPr>
              <w:t># Layers</w:t>
            </w:r>
          </w:p>
        </w:tc>
        <w:tc>
          <w:tcPr>
            <w:tcW w:w="870" w:type="dxa"/>
            <w:shd w:val="clear" w:color="auto" w:fill="DEEAF6" w:themeFill="accent1" w:themeFillTint="33"/>
            <w:vAlign w:val="bottom"/>
            <w:hideMark/>
          </w:tcPr>
          <w:p w14:paraId="038D726A" w14:textId="77777777" w:rsidR="00115EF8" w:rsidRPr="00115EF8" w:rsidRDefault="00115EF8" w:rsidP="00115EF8">
            <w:pPr>
              <w:jc w:val="center"/>
              <w:rPr>
                <w:b/>
              </w:rPr>
            </w:pPr>
            <w:r w:rsidRPr="00115EF8">
              <w:rPr>
                <w:b/>
              </w:rPr>
              <w:t>Mod Order (bits)</w:t>
            </w:r>
          </w:p>
        </w:tc>
        <w:tc>
          <w:tcPr>
            <w:tcW w:w="847" w:type="dxa"/>
            <w:shd w:val="clear" w:color="auto" w:fill="DEEAF6" w:themeFill="accent1" w:themeFillTint="33"/>
            <w:vAlign w:val="bottom"/>
            <w:hideMark/>
          </w:tcPr>
          <w:p w14:paraId="646B0A3F" w14:textId="77777777" w:rsidR="00115EF8" w:rsidRPr="00115EF8" w:rsidRDefault="00115EF8" w:rsidP="00115EF8">
            <w:pPr>
              <w:jc w:val="center"/>
              <w:rPr>
                <w:b/>
              </w:rPr>
            </w:pPr>
            <w:r w:rsidRPr="00115EF8">
              <w:rPr>
                <w:b/>
              </w:rPr>
              <w:t># RBs per Tx</w:t>
            </w:r>
          </w:p>
        </w:tc>
        <w:tc>
          <w:tcPr>
            <w:tcW w:w="1374" w:type="dxa"/>
            <w:shd w:val="clear" w:color="auto" w:fill="DEEAF6" w:themeFill="accent1" w:themeFillTint="33"/>
            <w:vAlign w:val="bottom"/>
            <w:hideMark/>
          </w:tcPr>
          <w:p w14:paraId="7975067F" w14:textId="77777777" w:rsidR="00115EF8" w:rsidRPr="00115EF8" w:rsidRDefault="00115EF8" w:rsidP="00115EF8">
            <w:pPr>
              <w:jc w:val="center"/>
              <w:rPr>
                <w:b/>
              </w:rPr>
            </w:pPr>
            <w:r w:rsidRPr="00115EF8">
              <w:rPr>
                <w:b/>
              </w:rPr>
              <w:t>#REs / RB (nominal)</w:t>
            </w:r>
          </w:p>
        </w:tc>
        <w:tc>
          <w:tcPr>
            <w:tcW w:w="1420" w:type="dxa"/>
            <w:shd w:val="clear" w:color="auto" w:fill="DEEAF6" w:themeFill="accent1" w:themeFillTint="33"/>
            <w:vAlign w:val="bottom"/>
            <w:hideMark/>
          </w:tcPr>
          <w:p w14:paraId="198740C2" w14:textId="77777777" w:rsidR="00115EF8" w:rsidRPr="00115EF8" w:rsidRDefault="00115EF8" w:rsidP="00115EF8">
            <w:pPr>
              <w:jc w:val="center"/>
              <w:rPr>
                <w:b/>
              </w:rPr>
            </w:pPr>
            <w:r w:rsidRPr="00115EF8">
              <w:rPr>
                <w:b/>
              </w:rPr>
              <w:t xml:space="preserve">1st Tx </w:t>
            </w:r>
            <w:r w:rsidRPr="00115EF8">
              <w:rPr>
                <w:b/>
              </w:rPr>
              <w:br/>
              <w:t>code rate</w:t>
            </w:r>
          </w:p>
        </w:tc>
        <w:tc>
          <w:tcPr>
            <w:tcW w:w="1398" w:type="dxa"/>
            <w:shd w:val="clear" w:color="auto" w:fill="DEEAF6" w:themeFill="accent1" w:themeFillTint="33"/>
            <w:vAlign w:val="bottom"/>
            <w:hideMark/>
          </w:tcPr>
          <w:p w14:paraId="74CC0773" w14:textId="77777777" w:rsidR="00115EF8" w:rsidRPr="00115EF8" w:rsidRDefault="00115EF8" w:rsidP="00115EF8">
            <w:pPr>
              <w:jc w:val="center"/>
              <w:rPr>
                <w:b/>
              </w:rPr>
            </w:pPr>
            <w:r w:rsidRPr="00115EF8">
              <w:rPr>
                <w:b/>
              </w:rPr>
              <w:t>Effective code rate after HARQ</w:t>
            </w:r>
          </w:p>
        </w:tc>
        <w:tc>
          <w:tcPr>
            <w:tcW w:w="1420" w:type="dxa"/>
            <w:shd w:val="clear" w:color="auto" w:fill="DEEAF6" w:themeFill="accent1" w:themeFillTint="33"/>
            <w:vAlign w:val="bottom"/>
            <w:hideMark/>
          </w:tcPr>
          <w:p w14:paraId="5246B0BA" w14:textId="77777777" w:rsidR="00115EF8" w:rsidRPr="00115EF8" w:rsidRDefault="00115EF8" w:rsidP="00115EF8">
            <w:pPr>
              <w:jc w:val="center"/>
              <w:rPr>
                <w:b/>
              </w:rPr>
            </w:pPr>
            <w:r w:rsidRPr="00115EF8">
              <w:rPr>
                <w:b/>
              </w:rPr>
              <w:t># coded bits</w:t>
            </w:r>
            <w:r w:rsidRPr="00115EF8">
              <w:rPr>
                <w:b/>
              </w:rPr>
              <w:br/>
              <w:t>(# soft bits)</w:t>
            </w:r>
          </w:p>
        </w:tc>
        <w:tc>
          <w:tcPr>
            <w:tcW w:w="1443" w:type="dxa"/>
            <w:shd w:val="clear" w:color="auto" w:fill="DEEAF6" w:themeFill="accent1" w:themeFillTint="33"/>
            <w:vAlign w:val="bottom"/>
            <w:hideMark/>
          </w:tcPr>
          <w:p w14:paraId="7CF6A369" w14:textId="77777777" w:rsidR="00115EF8" w:rsidRPr="00115EF8" w:rsidRDefault="00115EF8" w:rsidP="00115EF8">
            <w:pPr>
              <w:jc w:val="center"/>
              <w:rPr>
                <w:b/>
              </w:rPr>
            </w:pPr>
            <w:r w:rsidRPr="00115EF8">
              <w:rPr>
                <w:b/>
              </w:rPr>
              <w:t>Decoder TPUT Gbps</w:t>
            </w:r>
            <w:r w:rsidRPr="00115EF8">
              <w:rPr>
                <w:b/>
              </w:rPr>
              <w:br/>
              <w:t>(nominal)</w:t>
            </w:r>
          </w:p>
        </w:tc>
      </w:tr>
      <w:tr w:rsidR="00115EF8" w:rsidRPr="00115EF8" w14:paraId="4CC42477" w14:textId="77777777" w:rsidTr="00115EF8">
        <w:trPr>
          <w:trHeight w:val="303"/>
        </w:trPr>
        <w:tc>
          <w:tcPr>
            <w:tcW w:w="1100" w:type="dxa"/>
            <w:noWrap/>
            <w:hideMark/>
          </w:tcPr>
          <w:p w14:paraId="0AE7FE37" w14:textId="77777777" w:rsidR="00115EF8" w:rsidRPr="00115EF8" w:rsidRDefault="00115EF8" w:rsidP="00115EF8">
            <w:pPr>
              <w:jc w:val="center"/>
            </w:pPr>
            <w:r w:rsidRPr="00115EF8">
              <w:t>4</w:t>
            </w:r>
          </w:p>
        </w:tc>
        <w:tc>
          <w:tcPr>
            <w:tcW w:w="870" w:type="dxa"/>
            <w:noWrap/>
            <w:hideMark/>
          </w:tcPr>
          <w:p w14:paraId="0110422D" w14:textId="77777777" w:rsidR="00115EF8" w:rsidRPr="00115EF8" w:rsidRDefault="00115EF8" w:rsidP="00115EF8">
            <w:pPr>
              <w:jc w:val="center"/>
            </w:pPr>
            <w:r w:rsidRPr="00115EF8">
              <w:t>8</w:t>
            </w:r>
          </w:p>
        </w:tc>
        <w:tc>
          <w:tcPr>
            <w:tcW w:w="847" w:type="dxa"/>
            <w:noWrap/>
            <w:hideMark/>
          </w:tcPr>
          <w:p w14:paraId="67C762AE" w14:textId="77777777" w:rsidR="00115EF8" w:rsidRPr="00115EF8" w:rsidRDefault="00115EF8" w:rsidP="00115EF8">
            <w:pPr>
              <w:jc w:val="center"/>
            </w:pPr>
            <w:r w:rsidRPr="00115EF8">
              <w:t>270</w:t>
            </w:r>
          </w:p>
        </w:tc>
        <w:tc>
          <w:tcPr>
            <w:tcW w:w="1374" w:type="dxa"/>
            <w:noWrap/>
            <w:hideMark/>
          </w:tcPr>
          <w:p w14:paraId="67219F1A" w14:textId="77777777" w:rsidR="00115EF8" w:rsidRPr="00115EF8" w:rsidRDefault="00115EF8" w:rsidP="00115EF8">
            <w:pPr>
              <w:jc w:val="center"/>
            </w:pPr>
            <w:r w:rsidRPr="00115EF8">
              <w:t>84</w:t>
            </w:r>
          </w:p>
        </w:tc>
        <w:tc>
          <w:tcPr>
            <w:tcW w:w="1420" w:type="dxa"/>
            <w:noWrap/>
            <w:hideMark/>
          </w:tcPr>
          <w:p w14:paraId="0FE19159" w14:textId="77777777" w:rsidR="00115EF8" w:rsidRPr="00115EF8" w:rsidRDefault="00115EF8" w:rsidP="00115EF8">
            <w:pPr>
              <w:jc w:val="center"/>
            </w:pPr>
            <w:r w:rsidRPr="00115EF8">
              <w:t>0.88</w:t>
            </w:r>
          </w:p>
        </w:tc>
        <w:tc>
          <w:tcPr>
            <w:tcW w:w="1398" w:type="dxa"/>
            <w:noWrap/>
            <w:hideMark/>
          </w:tcPr>
          <w:p w14:paraId="5B91C232" w14:textId="28BA37F3" w:rsidR="00115EF8" w:rsidRPr="00115EF8" w:rsidRDefault="00115EF8" w:rsidP="00115EF8">
            <w:pPr>
              <w:jc w:val="center"/>
            </w:pPr>
            <w:r w:rsidRPr="00115EF8">
              <w:t>0.88</w:t>
            </w:r>
            <w:r w:rsidR="004326B5" w:rsidRPr="004326B5">
              <w:rPr>
                <w:vertAlign w:val="superscript"/>
              </w:rPr>
              <w:t>1</w:t>
            </w:r>
          </w:p>
        </w:tc>
        <w:tc>
          <w:tcPr>
            <w:tcW w:w="1420" w:type="dxa"/>
            <w:noWrap/>
            <w:hideMark/>
          </w:tcPr>
          <w:p w14:paraId="01D3E138" w14:textId="77777777" w:rsidR="00115EF8" w:rsidRPr="00115EF8" w:rsidRDefault="00115EF8" w:rsidP="00115EF8">
            <w:pPr>
              <w:jc w:val="center"/>
            </w:pPr>
            <w:r w:rsidRPr="00115EF8">
              <w:t>725760</w:t>
            </w:r>
          </w:p>
        </w:tc>
        <w:tc>
          <w:tcPr>
            <w:tcW w:w="1443" w:type="dxa"/>
            <w:noWrap/>
            <w:hideMark/>
          </w:tcPr>
          <w:p w14:paraId="3873C7C8" w14:textId="77777777" w:rsidR="00115EF8" w:rsidRPr="00115EF8" w:rsidRDefault="00115EF8" w:rsidP="00115EF8">
            <w:pPr>
              <w:jc w:val="center"/>
            </w:pPr>
            <w:r w:rsidRPr="00115EF8">
              <w:t>1.45152</w:t>
            </w:r>
          </w:p>
        </w:tc>
      </w:tr>
      <w:tr w:rsidR="00115EF8" w:rsidRPr="00115EF8" w14:paraId="72A069B9" w14:textId="77777777" w:rsidTr="00115EF8">
        <w:trPr>
          <w:trHeight w:val="303"/>
        </w:trPr>
        <w:tc>
          <w:tcPr>
            <w:tcW w:w="1100" w:type="dxa"/>
            <w:noWrap/>
            <w:hideMark/>
          </w:tcPr>
          <w:p w14:paraId="1BB7CDC9" w14:textId="77777777" w:rsidR="00115EF8" w:rsidRPr="004326B5" w:rsidRDefault="00115EF8" w:rsidP="00115EF8">
            <w:pPr>
              <w:jc w:val="center"/>
              <w:rPr>
                <w:b/>
                <w:i/>
              </w:rPr>
            </w:pPr>
            <w:r w:rsidRPr="004326B5">
              <w:rPr>
                <w:b/>
                <w:i/>
              </w:rPr>
              <w:t>4</w:t>
            </w:r>
          </w:p>
        </w:tc>
        <w:tc>
          <w:tcPr>
            <w:tcW w:w="870" w:type="dxa"/>
            <w:noWrap/>
            <w:hideMark/>
          </w:tcPr>
          <w:p w14:paraId="755E68B7" w14:textId="77777777" w:rsidR="00115EF8" w:rsidRPr="004326B5" w:rsidRDefault="00115EF8" w:rsidP="00115EF8">
            <w:pPr>
              <w:jc w:val="center"/>
              <w:rPr>
                <w:b/>
                <w:i/>
              </w:rPr>
            </w:pPr>
            <w:r w:rsidRPr="004326B5">
              <w:rPr>
                <w:b/>
                <w:i/>
              </w:rPr>
              <w:t>8</w:t>
            </w:r>
          </w:p>
        </w:tc>
        <w:tc>
          <w:tcPr>
            <w:tcW w:w="847" w:type="dxa"/>
            <w:noWrap/>
            <w:hideMark/>
          </w:tcPr>
          <w:p w14:paraId="41E4265F" w14:textId="77777777" w:rsidR="00115EF8" w:rsidRPr="004326B5" w:rsidRDefault="00115EF8" w:rsidP="00115EF8">
            <w:pPr>
              <w:jc w:val="center"/>
              <w:rPr>
                <w:b/>
                <w:i/>
              </w:rPr>
            </w:pPr>
            <w:r w:rsidRPr="004326B5">
              <w:rPr>
                <w:b/>
                <w:i/>
              </w:rPr>
              <w:t>270</w:t>
            </w:r>
          </w:p>
        </w:tc>
        <w:tc>
          <w:tcPr>
            <w:tcW w:w="1374" w:type="dxa"/>
            <w:noWrap/>
            <w:hideMark/>
          </w:tcPr>
          <w:p w14:paraId="68A0E7F2" w14:textId="77777777" w:rsidR="00115EF8" w:rsidRPr="004326B5" w:rsidRDefault="00115EF8" w:rsidP="00115EF8">
            <w:pPr>
              <w:jc w:val="center"/>
              <w:rPr>
                <w:b/>
                <w:i/>
              </w:rPr>
            </w:pPr>
            <w:r w:rsidRPr="004326B5">
              <w:rPr>
                <w:b/>
                <w:i/>
              </w:rPr>
              <w:t>84</w:t>
            </w:r>
          </w:p>
        </w:tc>
        <w:tc>
          <w:tcPr>
            <w:tcW w:w="1420" w:type="dxa"/>
            <w:noWrap/>
            <w:hideMark/>
          </w:tcPr>
          <w:p w14:paraId="7FEF1C28" w14:textId="77777777" w:rsidR="00115EF8" w:rsidRPr="004326B5" w:rsidRDefault="00115EF8" w:rsidP="00115EF8">
            <w:pPr>
              <w:jc w:val="center"/>
              <w:rPr>
                <w:b/>
                <w:i/>
              </w:rPr>
            </w:pPr>
            <w:r w:rsidRPr="004326B5">
              <w:rPr>
                <w:b/>
                <w:i/>
              </w:rPr>
              <w:t>0.88</w:t>
            </w:r>
          </w:p>
        </w:tc>
        <w:tc>
          <w:tcPr>
            <w:tcW w:w="1398" w:type="dxa"/>
            <w:noWrap/>
            <w:hideMark/>
          </w:tcPr>
          <w:p w14:paraId="1318244B" w14:textId="3DA4F0D3" w:rsidR="00115EF8" w:rsidRPr="004326B5" w:rsidRDefault="00115EF8" w:rsidP="00115EF8">
            <w:pPr>
              <w:jc w:val="center"/>
              <w:rPr>
                <w:b/>
                <w:i/>
              </w:rPr>
            </w:pPr>
            <w:r w:rsidRPr="004326B5">
              <w:rPr>
                <w:b/>
                <w:i/>
              </w:rPr>
              <w:t>0.44</w:t>
            </w:r>
            <w:r w:rsidR="00302BDA" w:rsidRPr="00302BDA">
              <w:rPr>
                <w:b/>
                <w:i/>
                <w:vertAlign w:val="superscript"/>
              </w:rPr>
              <w:t>2</w:t>
            </w:r>
          </w:p>
        </w:tc>
        <w:tc>
          <w:tcPr>
            <w:tcW w:w="1420" w:type="dxa"/>
            <w:noWrap/>
            <w:hideMark/>
          </w:tcPr>
          <w:p w14:paraId="20350B2B" w14:textId="77777777" w:rsidR="00115EF8" w:rsidRPr="004326B5" w:rsidRDefault="00115EF8" w:rsidP="00115EF8">
            <w:pPr>
              <w:jc w:val="center"/>
              <w:rPr>
                <w:b/>
                <w:i/>
              </w:rPr>
            </w:pPr>
            <w:r w:rsidRPr="004326B5">
              <w:rPr>
                <w:b/>
                <w:i/>
              </w:rPr>
              <w:t>1451520</w:t>
            </w:r>
          </w:p>
        </w:tc>
        <w:tc>
          <w:tcPr>
            <w:tcW w:w="1443" w:type="dxa"/>
            <w:noWrap/>
            <w:hideMark/>
          </w:tcPr>
          <w:p w14:paraId="2DFA33C2" w14:textId="77777777" w:rsidR="00115EF8" w:rsidRPr="004326B5" w:rsidRDefault="00115EF8" w:rsidP="00115EF8">
            <w:pPr>
              <w:jc w:val="center"/>
              <w:rPr>
                <w:b/>
                <w:i/>
              </w:rPr>
            </w:pPr>
            <w:r w:rsidRPr="004326B5">
              <w:rPr>
                <w:b/>
                <w:i/>
              </w:rPr>
              <w:t>2.90304</w:t>
            </w:r>
          </w:p>
        </w:tc>
      </w:tr>
      <w:tr w:rsidR="00115EF8" w:rsidRPr="00115EF8" w14:paraId="0D62D84C" w14:textId="77777777" w:rsidTr="00115EF8">
        <w:trPr>
          <w:trHeight w:val="303"/>
        </w:trPr>
        <w:tc>
          <w:tcPr>
            <w:tcW w:w="1100" w:type="dxa"/>
            <w:noWrap/>
            <w:hideMark/>
          </w:tcPr>
          <w:p w14:paraId="0F04CCA8" w14:textId="77777777" w:rsidR="00115EF8" w:rsidRPr="004326B5" w:rsidRDefault="00115EF8" w:rsidP="00115EF8">
            <w:pPr>
              <w:jc w:val="center"/>
            </w:pPr>
            <w:r w:rsidRPr="004326B5">
              <w:t>4</w:t>
            </w:r>
          </w:p>
        </w:tc>
        <w:tc>
          <w:tcPr>
            <w:tcW w:w="870" w:type="dxa"/>
            <w:noWrap/>
            <w:hideMark/>
          </w:tcPr>
          <w:p w14:paraId="462BF29E" w14:textId="77777777" w:rsidR="00115EF8" w:rsidRPr="004326B5" w:rsidRDefault="00115EF8" w:rsidP="00115EF8">
            <w:pPr>
              <w:jc w:val="center"/>
            </w:pPr>
            <w:r w:rsidRPr="004326B5">
              <w:t>8</w:t>
            </w:r>
          </w:p>
        </w:tc>
        <w:tc>
          <w:tcPr>
            <w:tcW w:w="847" w:type="dxa"/>
            <w:noWrap/>
            <w:hideMark/>
          </w:tcPr>
          <w:p w14:paraId="1F0769F9" w14:textId="77777777" w:rsidR="00115EF8" w:rsidRPr="004326B5" w:rsidRDefault="00115EF8" w:rsidP="00115EF8">
            <w:pPr>
              <w:jc w:val="center"/>
            </w:pPr>
            <w:r w:rsidRPr="004326B5">
              <w:t>270</w:t>
            </w:r>
          </w:p>
        </w:tc>
        <w:tc>
          <w:tcPr>
            <w:tcW w:w="1374" w:type="dxa"/>
            <w:noWrap/>
            <w:hideMark/>
          </w:tcPr>
          <w:p w14:paraId="7A792F60" w14:textId="77777777" w:rsidR="00115EF8" w:rsidRPr="004326B5" w:rsidRDefault="00115EF8" w:rsidP="00115EF8">
            <w:pPr>
              <w:jc w:val="center"/>
            </w:pPr>
            <w:r w:rsidRPr="004326B5">
              <w:t>84</w:t>
            </w:r>
          </w:p>
        </w:tc>
        <w:tc>
          <w:tcPr>
            <w:tcW w:w="1420" w:type="dxa"/>
            <w:noWrap/>
            <w:hideMark/>
          </w:tcPr>
          <w:p w14:paraId="161B5F60" w14:textId="77777777" w:rsidR="00115EF8" w:rsidRPr="004326B5" w:rsidRDefault="00115EF8" w:rsidP="00115EF8">
            <w:pPr>
              <w:jc w:val="center"/>
            </w:pPr>
            <w:r w:rsidRPr="004326B5">
              <w:t>0.88</w:t>
            </w:r>
          </w:p>
        </w:tc>
        <w:tc>
          <w:tcPr>
            <w:tcW w:w="1398" w:type="dxa"/>
            <w:noWrap/>
            <w:hideMark/>
          </w:tcPr>
          <w:p w14:paraId="3326B620" w14:textId="754564CD" w:rsidR="00115EF8" w:rsidRPr="004326B5" w:rsidRDefault="00115EF8" w:rsidP="00115EF8">
            <w:pPr>
              <w:jc w:val="center"/>
            </w:pPr>
            <w:r w:rsidRPr="004326B5">
              <w:t>0.33</w:t>
            </w:r>
            <w:r w:rsidR="00302BDA" w:rsidRPr="00302BDA">
              <w:rPr>
                <w:vertAlign w:val="superscript"/>
              </w:rPr>
              <w:t>3</w:t>
            </w:r>
          </w:p>
        </w:tc>
        <w:tc>
          <w:tcPr>
            <w:tcW w:w="1420" w:type="dxa"/>
            <w:noWrap/>
            <w:hideMark/>
          </w:tcPr>
          <w:p w14:paraId="6F25B1B4" w14:textId="77777777" w:rsidR="00115EF8" w:rsidRPr="004326B5" w:rsidRDefault="00115EF8" w:rsidP="00115EF8">
            <w:pPr>
              <w:jc w:val="center"/>
            </w:pPr>
            <w:r w:rsidRPr="004326B5">
              <w:t>1935360</w:t>
            </w:r>
          </w:p>
        </w:tc>
        <w:tc>
          <w:tcPr>
            <w:tcW w:w="1443" w:type="dxa"/>
            <w:noWrap/>
            <w:hideMark/>
          </w:tcPr>
          <w:p w14:paraId="141F3C8E" w14:textId="77777777" w:rsidR="00115EF8" w:rsidRPr="004326B5" w:rsidRDefault="00115EF8" w:rsidP="00115EF8">
            <w:pPr>
              <w:jc w:val="center"/>
            </w:pPr>
            <w:r w:rsidRPr="004326B5">
              <w:t>3.87072</w:t>
            </w:r>
          </w:p>
        </w:tc>
      </w:tr>
      <w:tr w:rsidR="00115EF8" w:rsidRPr="00115EF8" w14:paraId="7EBA7CA5" w14:textId="77777777" w:rsidTr="00115EF8">
        <w:trPr>
          <w:trHeight w:val="303"/>
        </w:trPr>
        <w:tc>
          <w:tcPr>
            <w:tcW w:w="1100" w:type="dxa"/>
            <w:noWrap/>
            <w:hideMark/>
          </w:tcPr>
          <w:p w14:paraId="2410A4BE" w14:textId="77777777" w:rsidR="00115EF8" w:rsidRPr="00115EF8" w:rsidRDefault="00115EF8" w:rsidP="00115EF8">
            <w:pPr>
              <w:jc w:val="center"/>
            </w:pPr>
            <w:r w:rsidRPr="00115EF8">
              <w:t>4</w:t>
            </w:r>
          </w:p>
        </w:tc>
        <w:tc>
          <w:tcPr>
            <w:tcW w:w="870" w:type="dxa"/>
            <w:noWrap/>
            <w:hideMark/>
          </w:tcPr>
          <w:p w14:paraId="2D8CCB4A" w14:textId="77777777" w:rsidR="00115EF8" w:rsidRPr="00115EF8" w:rsidRDefault="00115EF8" w:rsidP="00115EF8">
            <w:pPr>
              <w:jc w:val="center"/>
            </w:pPr>
            <w:r w:rsidRPr="00115EF8">
              <w:t>8</w:t>
            </w:r>
          </w:p>
        </w:tc>
        <w:tc>
          <w:tcPr>
            <w:tcW w:w="847" w:type="dxa"/>
            <w:noWrap/>
            <w:hideMark/>
          </w:tcPr>
          <w:p w14:paraId="0D5FAD8D" w14:textId="77777777" w:rsidR="00115EF8" w:rsidRPr="00115EF8" w:rsidRDefault="00115EF8" w:rsidP="00115EF8">
            <w:pPr>
              <w:jc w:val="center"/>
            </w:pPr>
            <w:r w:rsidRPr="00115EF8">
              <w:t>270</w:t>
            </w:r>
          </w:p>
        </w:tc>
        <w:tc>
          <w:tcPr>
            <w:tcW w:w="1374" w:type="dxa"/>
            <w:noWrap/>
            <w:hideMark/>
          </w:tcPr>
          <w:p w14:paraId="2A91C1A2" w14:textId="77777777" w:rsidR="00115EF8" w:rsidRPr="00115EF8" w:rsidRDefault="00115EF8" w:rsidP="00115EF8">
            <w:pPr>
              <w:jc w:val="center"/>
            </w:pPr>
            <w:r w:rsidRPr="00115EF8">
              <w:t>84</w:t>
            </w:r>
          </w:p>
        </w:tc>
        <w:tc>
          <w:tcPr>
            <w:tcW w:w="1420" w:type="dxa"/>
            <w:noWrap/>
            <w:hideMark/>
          </w:tcPr>
          <w:p w14:paraId="34BE1B4D" w14:textId="77777777" w:rsidR="00115EF8" w:rsidRPr="00115EF8" w:rsidRDefault="00115EF8" w:rsidP="00115EF8">
            <w:pPr>
              <w:jc w:val="center"/>
            </w:pPr>
            <w:r w:rsidRPr="00115EF8">
              <w:t>0.44</w:t>
            </w:r>
          </w:p>
        </w:tc>
        <w:tc>
          <w:tcPr>
            <w:tcW w:w="1398" w:type="dxa"/>
            <w:noWrap/>
            <w:hideMark/>
          </w:tcPr>
          <w:p w14:paraId="7C2A1C54" w14:textId="77777777" w:rsidR="00115EF8" w:rsidRPr="00115EF8" w:rsidRDefault="00115EF8" w:rsidP="00115EF8">
            <w:pPr>
              <w:jc w:val="center"/>
            </w:pPr>
            <w:r w:rsidRPr="00115EF8">
              <w:t>0.44</w:t>
            </w:r>
          </w:p>
        </w:tc>
        <w:tc>
          <w:tcPr>
            <w:tcW w:w="1420" w:type="dxa"/>
            <w:noWrap/>
            <w:hideMark/>
          </w:tcPr>
          <w:p w14:paraId="768DCE07" w14:textId="77777777" w:rsidR="00115EF8" w:rsidRPr="00115EF8" w:rsidRDefault="00115EF8" w:rsidP="00115EF8">
            <w:pPr>
              <w:jc w:val="center"/>
            </w:pPr>
            <w:r w:rsidRPr="00115EF8">
              <w:t>725760</w:t>
            </w:r>
          </w:p>
        </w:tc>
        <w:tc>
          <w:tcPr>
            <w:tcW w:w="1443" w:type="dxa"/>
            <w:noWrap/>
            <w:hideMark/>
          </w:tcPr>
          <w:p w14:paraId="3925EB23" w14:textId="77777777" w:rsidR="00115EF8" w:rsidRPr="00115EF8" w:rsidRDefault="00115EF8" w:rsidP="00115EF8">
            <w:pPr>
              <w:jc w:val="center"/>
            </w:pPr>
            <w:r w:rsidRPr="00115EF8">
              <w:t>1.45152</w:t>
            </w:r>
          </w:p>
        </w:tc>
      </w:tr>
      <w:tr w:rsidR="00115EF8" w:rsidRPr="00115EF8" w14:paraId="4E42AF2F" w14:textId="77777777" w:rsidTr="00115EF8">
        <w:trPr>
          <w:trHeight w:val="303"/>
        </w:trPr>
        <w:tc>
          <w:tcPr>
            <w:tcW w:w="1100" w:type="dxa"/>
            <w:noWrap/>
            <w:hideMark/>
          </w:tcPr>
          <w:p w14:paraId="534CCB76" w14:textId="77777777" w:rsidR="00115EF8" w:rsidRPr="00115EF8" w:rsidRDefault="00115EF8" w:rsidP="00115EF8">
            <w:pPr>
              <w:jc w:val="center"/>
            </w:pPr>
            <w:r w:rsidRPr="00115EF8">
              <w:t>4</w:t>
            </w:r>
          </w:p>
        </w:tc>
        <w:tc>
          <w:tcPr>
            <w:tcW w:w="870" w:type="dxa"/>
            <w:noWrap/>
            <w:hideMark/>
          </w:tcPr>
          <w:p w14:paraId="44266215" w14:textId="77777777" w:rsidR="00115EF8" w:rsidRPr="00115EF8" w:rsidRDefault="00115EF8" w:rsidP="00115EF8">
            <w:pPr>
              <w:jc w:val="center"/>
            </w:pPr>
            <w:r w:rsidRPr="00115EF8">
              <w:t>8</w:t>
            </w:r>
          </w:p>
        </w:tc>
        <w:tc>
          <w:tcPr>
            <w:tcW w:w="847" w:type="dxa"/>
            <w:noWrap/>
            <w:hideMark/>
          </w:tcPr>
          <w:p w14:paraId="0F8D8EE8" w14:textId="77777777" w:rsidR="00115EF8" w:rsidRPr="00115EF8" w:rsidRDefault="00115EF8" w:rsidP="00115EF8">
            <w:pPr>
              <w:jc w:val="center"/>
            </w:pPr>
            <w:r w:rsidRPr="00115EF8">
              <w:t>270</w:t>
            </w:r>
          </w:p>
        </w:tc>
        <w:tc>
          <w:tcPr>
            <w:tcW w:w="1374" w:type="dxa"/>
            <w:noWrap/>
            <w:hideMark/>
          </w:tcPr>
          <w:p w14:paraId="44B01480" w14:textId="77777777" w:rsidR="00115EF8" w:rsidRPr="00115EF8" w:rsidRDefault="00115EF8" w:rsidP="00115EF8">
            <w:pPr>
              <w:jc w:val="center"/>
            </w:pPr>
            <w:r w:rsidRPr="00115EF8">
              <w:t>84</w:t>
            </w:r>
          </w:p>
        </w:tc>
        <w:tc>
          <w:tcPr>
            <w:tcW w:w="1420" w:type="dxa"/>
            <w:noWrap/>
            <w:hideMark/>
          </w:tcPr>
          <w:p w14:paraId="320F5183" w14:textId="77777777" w:rsidR="00115EF8" w:rsidRPr="00115EF8" w:rsidRDefault="00115EF8" w:rsidP="00115EF8">
            <w:pPr>
              <w:jc w:val="center"/>
            </w:pPr>
            <w:r w:rsidRPr="00115EF8">
              <w:t>0.44</w:t>
            </w:r>
          </w:p>
        </w:tc>
        <w:tc>
          <w:tcPr>
            <w:tcW w:w="1398" w:type="dxa"/>
            <w:noWrap/>
            <w:hideMark/>
          </w:tcPr>
          <w:p w14:paraId="10B6CE5B" w14:textId="77777777" w:rsidR="00115EF8" w:rsidRPr="00115EF8" w:rsidRDefault="00115EF8" w:rsidP="00115EF8">
            <w:pPr>
              <w:jc w:val="center"/>
            </w:pPr>
            <w:r w:rsidRPr="00115EF8">
              <w:t>0.33</w:t>
            </w:r>
          </w:p>
        </w:tc>
        <w:tc>
          <w:tcPr>
            <w:tcW w:w="1420" w:type="dxa"/>
            <w:noWrap/>
            <w:hideMark/>
          </w:tcPr>
          <w:p w14:paraId="501742A3" w14:textId="77777777" w:rsidR="00115EF8" w:rsidRPr="00115EF8" w:rsidRDefault="00115EF8" w:rsidP="00115EF8">
            <w:pPr>
              <w:jc w:val="center"/>
            </w:pPr>
            <w:r w:rsidRPr="00115EF8">
              <w:t>967680</w:t>
            </w:r>
          </w:p>
        </w:tc>
        <w:tc>
          <w:tcPr>
            <w:tcW w:w="1443" w:type="dxa"/>
            <w:noWrap/>
            <w:hideMark/>
          </w:tcPr>
          <w:p w14:paraId="27644F4B" w14:textId="277387D3" w:rsidR="00115EF8" w:rsidRPr="00115EF8" w:rsidRDefault="00115EF8" w:rsidP="00115EF8">
            <w:pPr>
              <w:jc w:val="center"/>
            </w:pPr>
            <w:r w:rsidRPr="00115EF8">
              <w:t>1.93536</w:t>
            </w:r>
          </w:p>
        </w:tc>
      </w:tr>
    </w:tbl>
    <w:p w14:paraId="2ACD79C5" w14:textId="498AFB3C" w:rsidR="001C00CD" w:rsidRDefault="004326B5" w:rsidP="004326B5">
      <w:pPr>
        <w:pStyle w:val="ListParagraph"/>
        <w:numPr>
          <w:ilvl w:val="0"/>
          <w:numId w:val="11"/>
        </w:numPr>
        <w:rPr>
          <w:lang w:val="en-GB"/>
        </w:rPr>
      </w:pPr>
      <w:r>
        <w:rPr>
          <w:lang w:val="en-GB"/>
        </w:rPr>
        <w:t>This case illustrates 1</w:t>
      </w:r>
      <w:r w:rsidRPr="004326B5">
        <w:rPr>
          <w:vertAlign w:val="superscript"/>
          <w:lang w:val="en-GB"/>
        </w:rPr>
        <w:t>st</w:t>
      </w:r>
      <w:r>
        <w:rPr>
          <w:lang w:val="en-GB"/>
        </w:rPr>
        <w:t xml:space="preserve"> transmission throughput and soft buffer requirement, and worst case of chase combining support (i.e., most aggressive form of limited buffer rate matching)</w:t>
      </w:r>
    </w:p>
    <w:p w14:paraId="73D4FC71" w14:textId="3D3B54E3" w:rsidR="004326B5" w:rsidRDefault="00302BDA" w:rsidP="004326B5">
      <w:pPr>
        <w:pStyle w:val="ListParagraph"/>
        <w:numPr>
          <w:ilvl w:val="0"/>
          <w:numId w:val="11"/>
        </w:numPr>
        <w:rPr>
          <w:lang w:val="en-GB"/>
        </w:rPr>
      </w:pPr>
      <w:r>
        <w:rPr>
          <w:lang w:val="en-GB"/>
        </w:rPr>
        <w:t>This case illustrates the 2</w:t>
      </w:r>
      <w:r w:rsidRPr="00302BDA">
        <w:rPr>
          <w:vertAlign w:val="superscript"/>
          <w:lang w:val="en-GB"/>
        </w:rPr>
        <w:t>nd</w:t>
      </w:r>
      <w:r>
        <w:rPr>
          <w:lang w:val="en-GB"/>
        </w:rPr>
        <w:t xml:space="preserve"> transmission throughput and soft buffer requirement, when there is limited buffer rate matching to 0.44.</w:t>
      </w:r>
    </w:p>
    <w:p w14:paraId="6BA2E647" w14:textId="11A7632C" w:rsidR="00302BDA" w:rsidRDefault="00302BDA" w:rsidP="004326B5">
      <w:pPr>
        <w:pStyle w:val="ListParagraph"/>
        <w:numPr>
          <w:ilvl w:val="0"/>
          <w:numId w:val="11"/>
        </w:numPr>
        <w:rPr>
          <w:lang w:val="en-GB"/>
        </w:rPr>
      </w:pPr>
      <w:r>
        <w:rPr>
          <w:lang w:val="en-GB"/>
        </w:rPr>
        <w:t>This case illustrates the 2</w:t>
      </w:r>
      <w:r w:rsidRPr="00302BDA">
        <w:rPr>
          <w:vertAlign w:val="superscript"/>
          <w:lang w:val="en-GB"/>
        </w:rPr>
        <w:t>nd</w:t>
      </w:r>
      <w:r>
        <w:rPr>
          <w:lang w:val="en-GB"/>
        </w:rPr>
        <w:t xml:space="preserve"> transmission throughput and soft buffer requirement, when there is no limited buffer rate matching.</w:t>
      </w:r>
    </w:p>
    <w:p w14:paraId="5D94545E" w14:textId="5097C7C2" w:rsidR="00302BDA" w:rsidRDefault="00302BDA" w:rsidP="00302BDA">
      <w:pPr>
        <w:rPr>
          <w:lang w:val="en-GB"/>
        </w:rPr>
      </w:pPr>
    </w:p>
    <w:p w14:paraId="69D7331E" w14:textId="48DDAA6C" w:rsidR="00302BDA" w:rsidRDefault="004E241B" w:rsidP="00302BDA">
      <w:pPr>
        <w:rPr>
          <w:lang w:val="en-GB"/>
        </w:rPr>
      </w:pPr>
      <w:r>
        <w:rPr>
          <w:lang w:val="en-GB"/>
        </w:rPr>
        <w:t>Therefore, we see that is it sufficient to limit the peak rate case, while full IR HARQ performance allowable by the NR LDPC can still be realized throughout the remaining operating region.</w:t>
      </w:r>
    </w:p>
    <w:p w14:paraId="7ADFD2CA" w14:textId="3BCB52CC" w:rsidR="004E241B" w:rsidRDefault="00D77E07" w:rsidP="00D77E07">
      <w:pPr>
        <w:pStyle w:val="Heading2"/>
      </w:pPr>
      <w:r>
        <w:lastRenderedPageBreak/>
        <w:t>Performance aspects</w:t>
      </w:r>
    </w:p>
    <w:p w14:paraId="383355B6" w14:textId="0537E677" w:rsidR="00D77E07" w:rsidRDefault="00D77E07" w:rsidP="00302BDA">
      <w:pPr>
        <w:rPr>
          <w:lang w:val="en-GB"/>
        </w:rPr>
      </w:pPr>
      <w:r>
        <w:rPr>
          <w:lang w:val="en-GB"/>
        </w:rPr>
        <w:t xml:space="preserve">By reducing the decoder throughput and buffer size, the implementation complexity can be reduced. On the other hand, the IR HARQ performance becomes limited. The coding gain achieved from extended parity must be replaced by </w:t>
      </w:r>
      <w:r w:rsidR="003B0B50">
        <w:rPr>
          <w:lang w:val="en-GB"/>
        </w:rPr>
        <w:t xml:space="preserve">repetition </w:t>
      </w:r>
      <w:r>
        <w:rPr>
          <w:lang w:val="en-GB"/>
        </w:rPr>
        <w:t>combining on the retransmitted bits.</w:t>
      </w:r>
      <w:r w:rsidR="003B0B50">
        <w:rPr>
          <w:lang w:val="en-GB"/>
        </w:rPr>
        <w:t xml:space="preserve"> In the limit of no coding gain, we have 3dB combining gain from Chase combining when all coded bits are retransmitted. In the limit of full coding gain, we have the associated SNR gain from reducing the spectral efficiency by one-half in the same case. Note that for the case of peak spectral efficiency with higher order modulation, this latter aspect can be quite large.</w:t>
      </w:r>
    </w:p>
    <w:p w14:paraId="4C911761" w14:textId="00AAD86A" w:rsidR="00F91D05" w:rsidRDefault="00F91D05" w:rsidP="00302BDA">
      <w:pPr>
        <w:rPr>
          <w:lang w:val="en-GB"/>
        </w:rPr>
      </w:pPr>
      <w:r>
        <w:rPr>
          <w:lang w:val="en-GB"/>
        </w:rPr>
        <w:t>Performance evaluation of this tradeoff for NR LDPC Basegraph 1 is shown in the figure below.</w:t>
      </w:r>
    </w:p>
    <w:p w14:paraId="436FF4AE" w14:textId="77777777" w:rsidR="005F2B43" w:rsidRDefault="00F91D05" w:rsidP="005F2B43">
      <w:pPr>
        <w:keepNext/>
      </w:pPr>
      <w:r>
        <w:rPr>
          <w:noProof/>
        </w:rPr>
        <w:drawing>
          <wp:inline distT="0" distB="0" distL="0" distR="0" wp14:anchorId="39D44827" wp14:editId="3DB3E6B4">
            <wp:extent cx="6332220" cy="3742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3742055"/>
                    </a:xfrm>
                    <a:prstGeom prst="rect">
                      <a:avLst/>
                    </a:prstGeom>
                  </pic:spPr>
                </pic:pic>
              </a:graphicData>
            </a:graphic>
          </wp:inline>
        </w:drawing>
      </w:r>
    </w:p>
    <w:p w14:paraId="522DE2A1" w14:textId="74BFE342" w:rsidR="003B0B50" w:rsidRDefault="005F2B43" w:rsidP="00AA211C">
      <w:pPr>
        <w:pStyle w:val="Caption"/>
        <w:jc w:val="center"/>
        <w:rPr>
          <w:lang w:val="en-GB"/>
        </w:rPr>
      </w:pPr>
      <w:r>
        <w:t xml:space="preserve">Figure </w:t>
      </w:r>
      <w:fldSimple w:instr=" SEQ Figure \* ARABIC ">
        <w:r>
          <w:rPr>
            <w:noProof/>
          </w:rPr>
          <w:t>1</w:t>
        </w:r>
      </w:fldSimple>
      <w:r>
        <w:t>. LBRM performance evaluation on AWGN</w:t>
      </w:r>
    </w:p>
    <w:p w14:paraId="175D36CF" w14:textId="1E228407" w:rsidR="00F91D05" w:rsidRDefault="00F91D05" w:rsidP="00302BDA">
      <w:pPr>
        <w:rPr>
          <w:lang w:val="en-GB"/>
        </w:rPr>
      </w:pPr>
    </w:p>
    <w:p w14:paraId="2D2FBDC3" w14:textId="7270F824" w:rsidR="005F2B43" w:rsidRDefault="005F2B43" w:rsidP="00302BDA">
      <w:pPr>
        <w:rPr>
          <w:lang w:val="en-GB"/>
        </w:rPr>
      </w:pPr>
      <w:r>
        <w:rPr>
          <w:lang w:val="en-GB"/>
        </w:rPr>
        <w:t>As it can be seen, a very large amount in HARQ gain mainly from coding gain can be realized with LBRM down to rate 0.44. An additional gain can be achieved by allowing coding gain down to rate 0.33, although in this regime we find slo</w:t>
      </w:r>
      <w:r w:rsidR="00730837">
        <w:rPr>
          <w:lang w:val="en-GB"/>
        </w:rPr>
        <w:t>pe saturation leads to diminishing returns. Note that this analysis corresponds to 256-QAM and R=0.88 on the 1</w:t>
      </w:r>
      <w:r w:rsidR="00730837" w:rsidRPr="00730837">
        <w:rPr>
          <w:vertAlign w:val="superscript"/>
          <w:lang w:val="en-GB"/>
        </w:rPr>
        <w:t>st</w:t>
      </w:r>
      <w:r w:rsidR="00730837">
        <w:rPr>
          <w:lang w:val="en-GB"/>
        </w:rPr>
        <w:t xml:space="preserve"> transmission. If we apply the same buffer size to 1</w:t>
      </w:r>
      <w:r w:rsidR="00730837" w:rsidRPr="00730837">
        <w:rPr>
          <w:vertAlign w:val="superscript"/>
          <w:lang w:val="en-GB"/>
        </w:rPr>
        <w:t>st</w:t>
      </w:r>
      <w:r w:rsidR="00730837">
        <w:rPr>
          <w:lang w:val="en-GB"/>
        </w:rPr>
        <w:t xml:space="preserve"> transmissions with lower code rates, the diminishing returns will be even smaller, recalling from Table </w:t>
      </w:r>
      <w:r w:rsidR="00AD07FD">
        <w:rPr>
          <w:lang w:val="en-GB"/>
        </w:rPr>
        <w:t>1</w:t>
      </w:r>
      <w:r w:rsidR="00730837">
        <w:rPr>
          <w:lang w:val="en-GB"/>
        </w:rPr>
        <w:t xml:space="preserve"> that </w:t>
      </w:r>
      <w:r w:rsidR="00AD07FD">
        <w:rPr>
          <w:lang w:val="en-GB"/>
        </w:rPr>
        <w:t>enough hardware is available to reach effective code rate at R=1/3 after HARQ when the TBS is smaller.</w:t>
      </w:r>
    </w:p>
    <w:p w14:paraId="12C74836" w14:textId="567357D8" w:rsidR="00877646" w:rsidRPr="008A4BD7" w:rsidRDefault="0025192D" w:rsidP="00877646">
      <w:pPr>
        <w:rPr>
          <w:lang w:val="en-GB"/>
        </w:rPr>
      </w:pPr>
      <w:r w:rsidRPr="0025192D">
        <w:rPr>
          <w:b/>
          <w:u w:val="single"/>
          <w:lang w:val="en-GB"/>
        </w:rPr>
        <w:t>Proposal 1:</w:t>
      </w:r>
      <w:r>
        <w:rPr>
          <w:lang w:val="en-GB"/>
        </w:rPr>
        <w:t xml:space="preserve"> Limited buffer rate matching (LBRM) should be applied per HARQ process such that TBs at the peak spectral efficiency can support HARQ down t</w:t>
      </w:r>
      <w:r w:rsidR="008A4BD7">
        <w:rPr>
          <w:lang w:val="en-GB"/>
        </w:rPr>
        <w:t>o an effective code rate of 4/</w:t>
      </w:r>
      <w:r w:rsidR="00610766">
        <w:rPr>
          <w:lang w:val="en-GB"/>
        </w:rPr>
        <w:t>9.</w:t>
      </w:r>
    </w:p>
    <w:p w14:paraId="575470A2" w14:textId="5E0F79FA" w:rsidR="00705902" w:rsidRDefault="00705902" w:rsidP="00877646">
      <w:pPr>
        <w:pStyle w:val="Heading1"/>
      </w:pPr>
      <w:r>
        <w:t>Soft buffer dimensioning</w:t>
      </w:r>
    </w:p>
    <w:p w14:paraId="5C5327F3" w14:textId="113440BE" w:rsidR="00705902" w:rsidRDefault="00705902" w:rsidP="00705902">
      <w:pPr>
        <w:rPr>
          <w:lang w:val="en-GB"/>
        </w:rPr>
      </w:pPr>
      <w:r>
        <w:rPr>
          <w:lang w:val="en-GB"/>
        </w:rPr>
        <w:t>Although the total transmit buffer size and total UE soft buffer size are to be de-coupled in NR specification, it is important to understand the reference configuration to be targeted for NR</w:t>
      </w:r>
      <w:r w:rsidR="009D754C">
        <w:rPr>
          <w:lang w:val="en-GB"/>
        </w:rPr>
        <w:t xml:space="preserve"> </w:t>
      </w:r>
      <w:r>
        <w:rPr>
          <w:lang w:val="en-GB"/>
        </w:rPr>
        <w:t>when very high throughputs</w:t>
      </w:r>
      <w:r w:rsidR="008941FF">
        <w:rPr>
          <w:lang w:val="en-GB"/>
        </w:rPr>
        <w:t xml:space="preserve"> are</w:t>
      </w:r>
      <w:r>
        <w:rPr>
          <w:lang w:val="en-GB"/>
        </w:rPr>
        <w:t xml:space="preserve"> to be supported.</w:t>
      </w:r>
      <w:r w:rsidR="008941FF">
        <w:rPr>
          <w:lang w:val="en-GB"/>
        </w:rPr>
        <w:t xml:space="preserve"> Instead of a top-down approach to try to figure out what is the number of HARQ processes that works across different deployments with widely different RTT, network delay, different SCS and slot durations, there would be more clarity in a bottom-up approach </w:t>
      </w:r>
      <w:r w:rsidR="008941FF">
        <w:rPr>
          <w:lang w:val="en-GB"/>
        </w:rPr>
        <w:lastRenderedPageBreak/>
        <w:t>that considers only the fundamental UE or gNB processing latency and use that to determine a number of HARQ processes as baseline. This will be referred to as the reference number of HARQ processes, on which soft buffer sizing would be based.</w:t>
      </w:r>
    </w:p>
    <w:p w14:paraId="463202EC" w14:textId="32395D40" w:rsidR="00705902" w:rsidRPr="008941FF" w:rsidRDefault="00705902" w:rsidP="00705902">
      <w:pPr>
        <w:pStyle w:val="Heading2"/>
      </w:pPr>
      <w:bookmarkStart w:id="1" w:name="_Ref481768733"/>
      <w:r>
        <w:t>Reference Number of HARQ Processes</w:t>
      </w:r>
      <w:bookmarkEnd w:id="1"/>
    </w:p>
    <w:p w14:paraId="15FCB5FB" w14:textId="7FB053AE" w:rsidR="00877646" w:rsidRDefault="00877646" w:rsidP="00877646">
      <w:r>
        <w:t>We start our considerations relying on the following terminology referring to the HARQ timing.</w:t>
      </w:r>
    </w:p>
    <w:p w14:paraId="1ADE1290" w14:textId="77777777" w:rsidR="00877646" w:rsidRPr="006164DD" w:rsidRDefault="00877646" w:rsidP="00877646">
      <w:pPr>
        <w:pStyle w:val="ListParagraph"/>
        <w:numPr>
          <w:ilvl w:val="0"/>
          <w:numId w:val="7"/>
        </w:numPr>
      </w:pPr>
      <w:r w:rsidRPr="006164DD">
        <w:t>K0: Delay between DL grant and corresponding DL data (PDSCH) reception</w:t>
      </w:r>
    </w:p>
    <w:p w14:paraId="547AD083" w14:textId="77777777" w:rsidR="00877646" w:rsidRPr="006164DD" w:rsidRDefault="00877646" w:rsidP="00877646">
      <w:pPr>
        <w:pStyle w:val="ListParagraph"/>
        <w:numPr>
          <w:ilvl w:val="0"/>
          <w:numId w:val="7"/>
        </w:numPr>
      </w:pPr>
      <w:r w:rsidRPr="006164DD">
        <w:t xml:space="preserve">K1: Delay between DL data (PDSCH) reception and corresponding </w:t>
      </w:r>
      <w:r>
        <w:t>ACK</w:t>
      </w:r>
      <w:r w:rsidRPr="006164DD">
        <w:t xml:space="preserve"> transmission on UL</w:t>
      </w:r>
    </w:p>
    <w:p w14:paraId="069E2642" w14:textId="77777777" w:rsidR="00877646" w:rsidRPr="006164DD" w:rsidRDefault="00877646" w:rsidP="00877646">
      <w:pPr>
        <w:pStyle w:val="ListParagraph"/>
        <w:numPr>
          <w:ilvl w:val="0"/>
          <w:numId w:val="7"/>
        </w:numPr>
      </w:pPr>
      <w:r w:rsidRPr="006164DD">
        <w:t>K2: Delay between UL grant reception in DL and UL data (PUSCH) transmission</w:t>
      </w:r>
    </w:p>
    <w:p w14:paraId="7C2E5E55" w14:textId="77777777" w:rsidR="00877646" w:rsidRPr="006164DD" w:rsidRDefault="00877646" w:rsidP="00877646">
      <w:pPr>
        <w:pStyle w:val="ListParagraph"/>
        <w:numPr>
          <w:ilvl w:val="0"/>
          <w:numId w:val="7"/>
        </w:numPr>
      </w:pPr>
      <w:r w:rsidRPr="006164DD">
        <w:t>K3: Delay between ACK/NAK reception in UL and corresponding retransmission of data (PDSCH) on DL</w:t>
      </w:r>
    </w:p>
    <w:p w14:paraId="19E5D11A" w14:textId="77777777" w:rsidR="00877646" w:rsidRDefault="00877646" w:rsidP="00877646"/>
    <w:p w14:paraId="20938D6B" w14:textId="0296FA4B" w:rsidR="00877646" w:rsidRPr="00F6037D" w:rsidRDefault="00877646" w:rsidP="00877646">
      <w:r w:rsidRPr="006164DD">
        <w:t>Note that all delay</w:t>
      </w:r>
      <w:r w:rsidR="00630C56">
        <w:t>s</w:t>
      </w:r>
      <w:r w:rsidRPr="006164DD">
        <w:t xml:space="preserve"> abo</w:t>
      </w:r>
      <w:r>
        <w:t>ve are defined in units of slot, and the discussion here will focus on slot-based scheduling</w:t>
      </w:r>
      <w:r w:rsidRPr="006164DD">
        <w:t>.</w:t>
      </w:r>
    </w:p>
    <w:p w14:paraId="07A702F6" w14:textId="29A7F467" w:rsidR="00705902" w:rsidRDefault="00705902" w:rsidP="00705902">
      <w:pPr>
        <w:rPr>
          <w:lang w:val="en-GB"/>
        </w:rPr>
      </w:pPr>
      <w:r>
        <w:rPr>
          <w:lang w:val="en-GB"/>
        </w:rPr>
        <w:t>As discussed in</w:t>
      </w:r>
      <w:r w:rsidR="005875A5">
        <w:rPr>
          <w:lang w:val="en-GB"/>
        </w:rPr>
        <w:t xml:space="preserve"> </w:t>
      </w:r>
      <w:r w:rsidR="005875A5">
        <w:rPr>
          <w:lang w:val="en-GB"/>
        </w:rPr>
        <w:fldChar w:fldCharType="begin"/>
      </w:r>
      <w:r w:rsidR="005875A5">
        <w:rPr>
          <w:lang w:val="en-GB"/>
        </w:rPr>
        <w:instrText xml:space="preserve"> REF _Ref492911014 \r \h </w:instrText>
      </w:r>
      <w:r w:rsidR="005875A5">
        <w:rPr>
          <w:lang w:val="en-GB"/>
        </w:rPr>
      </w:r>
      <w:r w:rsidR="005875A5">
        <w:rPr>
          <w:lang w:val="en-GB"/>
        </w:rPr>
        <w:fldChar w:fldCharType="separate"/>
      </w:r>
      <w:r w:rsidR="001404A8">
        <w:rPr>
          <w:lang w:val="en-GB"/>
        </w:rPr>
        <w:t>[4]</w:t>
      </w:r>
      <w:r w:rsidR="005875A5">
        <w:rPr>
          <w:lang w:val="en-GB"/>
        </w:rPr>
        <w:fldChar w:fldCharType="end"/>
      </w:r>
      <w:r>
        <w:rPr>
          <w:lang w:val="en-GB"/>
        </w:rPr>
        <w:t xml:space="preserve">, for DL centric slots, if the gNB HARQ delay is 2 (i.e. receiving ACK/NAK in Slot N and Re-Tx in N+2) and the UE HARQ delay is 1 (K0=0, K1=1, i.e. receiving PDCCH and PDSCH in Slot N-1 and sending ACK/NAK in Slot N), the HARQ RTT would be the sum which is 3. For this case, the number of HARQ processes needed could be 3. </w:t>
      </w:r>
    </w:p>
    <w:p w14:paraId="2D294812" w14:textId="77777777" w:rsidR="00705902" w:rsidRDefault="00705902" w:rsidP="00705902">
      <w:pPr>
        <w:keepNext/>
      </w:pPr>
      <w:r w:rsidRPr="0019443E">
        <w:object w:dxaOrig="12617" w:dyaOrig="2355" w14:anchorId="7AF34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93.75pt" o:ole="">
            <v:imagedata r:id="rId13" o:title=""/>
          </v:shape>
          <o:OLEObject Type="Embed" ProgID="Visio.Drawing.11" ShapeID="_x0000_i1025" DrawAspect="Content" ObjectID="_1566670780" r:id="rId14"/>
        </w:object>
      </w:r>
    </w:p>
    <w:p w14:paraId="23BEB6ED" w14:textId="77777777" w:rsidR="00705902" w:rsidRDefault="00705902" w:rsidP="00705902">
      <w:pPr>
        <w:pStyle w:val="Caption"/>
        <w:jc w:val="center"/>
        <w:rPr>
          <w:lang w:val="en-GB"/>
        </w:rPr>
      </w:pPr>
      <w:r>
        <w:t xml:space="preserve">Figure </w:t>
      </w:r>
      <w:fldSimple w:instr=" SEQ Figure \* ARABIC ">
        <w:r>
          <w:rPr>
            <w:noProof/>
          </w:rPr>
          <w:t>2</w:t>
        </w:r>
      </w:fldSimple>
      <w:r>
        <w:t>. HARQ processes supported for DL slot-based scheduling with K1=1, K3=2</w:t>
      </w:r>
    </w:p>
    <w:p w14:paraId="667C7A83" w14:textId="77777777" w:rsidR="00705902" w:rsidRDefault="00705902" w:rsidP="00705902">
      <w:pPr>
        <w:rPr>
          <w:sz w:val="22"/>
        </w:rPr>
      </w:pPr>
    </w:p>
    <w:p w14:paraId="5074DA51" w14:textId="77777777" w:rsidR="00705902" w:rsidRDefault="00705902" w:rsidP="00705902">
      <w:r w:rsidRPr="006164DD">
        <w:t>Note that operation with K1=1 has been considered for enhanced performance at high Doppler, where a UE could take advantage of the relaxed ACK/NAK feedback latency by performing non-causal channel/interference estimation. Further relaxation of K1 has diminishing return in performance at the cost of higher latency.</w:t>
      </w:r>
    </w:p>
    <w:p w14:paraId="2DE83064" w14:textId="77777777" w:rsidR="00705902" w:rsidRDefault="00705902" w:rsidP="00705902">
      <w:pPr>
        <w:rPr>
          <w:lang w:val="en-GB"/>
        </w:rPr>
      </w:pPr>
      <w:r>
        <w:rPr>
          <w:lang w:val="en-GB"/>
        </w:rPr>
        <w:t>If the UE is operating with self-contained slot with K1=0, and K3 remains at 2, in theory, the number of HARQ processes needed could be as low as 2. This offers the benefits of lower latency and low soft buffer size requirement on the UE.</w:t>
      </w:r>
    </w:p>
    <w:p w14:paraId="3F95336F" w14:textId="77777777" w:rsidR="00705902" w:rsidRDefault="00705902" w:rsidP="00705902">
      <w:pPr>
        <w:keepNext/>
      </w:pPr>
      <w:r w:rsidRPr="0019443E">
        <w:rPr>
          <w:sz w:val="22"/>
        </w:rPr>
        <w:object w:dxaOrig="9680" w:dyaOrig="1793" w14:anchorId="6250F85A">
          <v:shape id="_x0000_i1026" type="#_x0000_t75" style="width:388.5pt;height:1in" o:ole="">
            <v:imagedata r:id="rId15" o:title=""/>
          </v:shape>
          <o:OLEObject Type="Embed" ProgID="Visio.Drawing.11" ShapeID="_x0000_i1026" DrawAspect="Content" ObjectID="_1566670781" r:id="rId16"/>
        </w:object>
      </w:r>
    </w:p>
    <w:p w14:paraId="59E311A0" w14:textId="77777777" w:rsidR="00705902" w:rsidRDefault="00705902" w:rsidP="00705902">
      <w:pPr>
        <w:pStyle w:val="Caption"/>
        <w:jc w:val="center"/>
        <w:rPr>
          <w:sz w:val="22"/>
        </w:rPr>
      </w:pPr>
      <w:r>
        <w:t xml:space="preserve">Figure </w:t>
      </w:r>
      <w:fldSimple w:instr=" SEQ Figure \* ARABIC ">
        <w:r>
          <w:rPr>
            <w:noProof/>
          </w:rPr>
          <w:t>3</w:t>
        </w:r>
      </w:fldSimple>
      <w:r>
        <w:t>. HARQ processes supported for DL slot-based scheduling with K1=0, K3=2</w:t>
      </w:r>
    </w:p>
    <w:p w14:paraId="7727FAF7" w14:textId="77777777" w:rsidR="00705902" w:rsidRDefault="00705902" w:rsidP="00705902">
      <w:pPr>
        <w:rPr>
          <w:lang w:val="en-GB"/>
        </w:rPr>
      </w:pPr>
    </w:p>
    <w:p w14:paraId="53D3DFBF" w14:textId="77777777" w:rsidR="00705902" w:rsidRDefault="00705902" w:rsidP="00705902">
      <w:pPr>
        <w:rPr>
          <w:lang w:val="en-GB"/>
        </w:rPr>
      </w:pPr>
      <w:r>
        <w:rPr>
          <w:lang w:val="en-GB"/>
        </w:rPr>
        <w:t>On the downlink, reference number of HARQ processes can be defined to be the minimum number of HARQ processes that accommodates reasonable HARQ delay on both the UE and gNB side, assuming all slots are DL centric slots.</w:t>
      </w:r>
    </w:p>
    <w:p w14:paraId="023B92B5" w14:textId="77777777" w:rsidR="00705902" w:rsidRDefault="00705902" w:rsidP="00705902">
      <w:pPr>
        <w:rPr>
          <w:lang w:val="en-GB"/>
        </w:rPr>
      </w:pPr>
      <w:r>
        <w:rPr>
          <w:lang w:val="en-GB"/>
        </w:rPr>
        <w:t>Based on above HARQ timeline, only two HARQ processes is needed with K1=0. However, there are scenarios at high Doppler that require non-casual processing to ensure good performance. In determining the reference number of HARQ processes, K1=1 and K3=2 should be assumed. This gives roughly one slot of processing time budget for both the UE (from last data symbol to ACK/NAK feedback) and the gNB (from ACK/NAK reception to next retransmission opportunity). It follows that the reference number of HARQ should be 3.</w:t>
      </w:r>
    </w:p>
    <w:p w14:paraId="0D09FF9E" w14:textId="1F66AB80" w:rsidR="00705902" w:rsidRDefault="00705902" w:rsidP="00E75094">
      <w:pPr>
        <w:rPr>
          <w:lang w:val="en-GB"/>
        </w:rPr>
      </w:pPr>
      <w:r w:rsidRPr="004A6201">
        <w:rPr>
          <w:b/>
          <w:u w:val="single"/>
          <w:lang w:val="en-GB"/>
        </w:rPr>
        <w:lastRenderedPageBreak/>
        <w:t xml:space="preserve">Proposal </w:t>
      </w:r>
      <w:r w:rsidR="004A6201" w:rsidRPr="004A6201">
        <w:rPr>
          <w:b/>
          <w:u w:val="single"/>
          <w:lang w:val="en-GB"/>
        </w:rPr>
        <w:t>2</w:t>
      </w:r>
      <w:r w:rsidRPr="004A6201">
        <w:rPr>
          <w:b/>
          <w:u w:val="single"/>
          <w:lang w:val="en-GB"/>
        </w:rPr>
        <w:t>:</w:t>
      </w:r>
      <w:r>
        <w:rPr>
          <w:lang w:val="en-GB"/>
        </w:rPr>
        <w:t xml:space="preserve"> Define reference number of HARQ processes to be the minimum number that considers fundamental UE and gNB processing delay assuming all slots are DL centric slots.</w:t>
      </w:r>
      <w:r w:rsidR="00E75094">
        <w:rPr>
          <w:lang w:val="en-GB"/>
        </w:rPr>
        <w:t xml:space="preserve"> In this case, the</w:t>
      </w:r>
      <w:r>
        <w:rPr>
          <w:lang w:val="en-GB"/>
        </w:rPr>
        <w:t xml:space="preserve"> </w:t>
      </w:r>
      <w:r w:rsidR="00E75094">
        <w:rPr>
          <w:lang w:val="en-GB"/>
        </w:rPr>
        <w:t>r</w:t>
      </w:r>
      <w:r>
        <w:rPr>
          <w:lang w:val="en-GB"/>
        </w:rPr>
        <w:t>eference number of HARQ processes should be defined to be 3 for NR.</w:t>
      </w:r>
    </w:p>
    <w:p w14:paraId="66CC207C" w14:textId="1215921A" w:rsidR="00E75094" w:rsidRPr="00E75094" w:rsidRDefault="006F0E31" w:rsidP="008941FF">
      <w:pPr>
        <w:rPr>
          <w:lang w:val="en-GB"/>
        </w:rPr>
      </w:pPr>
      <w:r>
        <w:rPr>
          <w:lang w:val="en-GB"/>
        </w:rPr>
        <w:t>Additionally, i</w:t>
      </w:r>
      <w:r w:rsidR="008941FF">
        <w:rPr>
          <w:lang w:val="en-GB"/>
        </w:rPr>
        <w:t>t has been proposed in</w:t>
      </w:r>
      <w:r w:rsidR="005875A5">
        <w:rPr>
          <w:lang w:val="en-GB"/>
        </w:rPr>
        <w:t xml:space="preserve"> </w:t>
      </w:r>
      <w:r w:rsidR="001404A8">
        <w:rPr>
          <w:lang w:val="en-GB"/>
        </w:rPr>
        <w:fldChar w:fldCharType="begin"/>
      </w:r>
      <w:r w:rsidR="001404A8">
        <w:rPr>
          <w:lang w:val="en-GB"/>
        </w:rPr>
        <w:instrText xml:space="preserve"> REF _Ref492911084 \r \h </w:instrText>
      </w:r>
      <w:r w:rsidR="001404A8">
        <w:rPr>
          <w:lang w:val="en-GB"/>
        </w:rPr>
      </w:r>
      <w:r w:rsidR="001404A8">
        <w:rPr>
          <w:lang w:val="en-GB"/>
        </w:rPr>
        <w:fldChar w:fldCharType="separate"/>
      </w:r>
      <w:r w:rsidR="001404A8">
        <w:rPr>
          <w:lang w:val="en-GB"/>
        </w:rPr>
        <w:t>[5]</w:t>
      </w:r>
      <w:r w:rsidR="001404A8">
        <w:rPr>
          <w:lang w:val="en-GB"/>
        </w:rPr>
        <w:fldChar w:fldCharType="end"/>
      </w:r>
      <w:r w:rsidR="005875A5">
        <w:rPr>
          <w:lang w:val="en-GB"/>
        </w:rPr>
        <w:t xml:space="preserve"> </w:t>
      </w:r>
      <w:r w:rsidR="008941FF">
        <w:rPr>
          <w:lang w:val="en-GB"/>
        </w:rPr>
        <w:t>that the</w:t>
      </w:r>
      <w:r w:rsidR="008941FF" w:rsidRPr="00B21722">
        <w:rPr>
          <w:lang w:val="en-GB"/>
        </w:rPr>
        <w:t xml:space="preserve"> starting point for the maximum number of HARQ processes </w:t>
      </w:r>
      <w:r w:rsidR="008941FF">
        <w:rPr>
          <w:lang w:val="en-GB"/>
        </w:rPr>
        <w:t>is 8, at least for 15kHz SCS. For 15kHz SCS, this is same as LTE FDD. As SCS increases, the slot duration reduces and the RTT supported also reduces at the same number of HARQ processes. For the largest SCS which is 120kHz, slot duration is 0.125msec. Maximum number of HARQ processes of 8 results in 1ms of RTT that can be supported. For 120kHz, the deployment scenario is typically for small cell (pico / nano cell), and that level of RTT should be sufficient.</w:t>
      </w:r>
    </w:p>
    <w:p w14:paraId="53A00C91" w14:textId="02573656" w:rsidR="00705902" w:rsidRDefault="008941FF" w:rsidP="008941FF">
      <w:pPr>
        <w:rPr>
          <w:lang w:val="en-GB"/>
        </w:rPr>
      </w:pPr>
      <w:r w:rsidRPr="00B36CAD">
        <w:rPr>
          <w:b/>
          <w:u w:val="single"/>
          <w:lang w:val="en-GB"/>
        </w:rPr>
        <w:t xml:space="preserve">Proposal </w:t>
      </w:r>
      <w:r w:rsidR="00E75094">
        <w:rPr>
          <w:b/>
          <w:u w:val="single"/>
          <w:lang w:val="en-GB"/>
        </w:rPr>
        <w:t>3</w:t>
      </w:r>
      <w:r w:rsidRPr="00B36CAD">
        <w:rPr>
          <w:b/>
          <w:u w:val="single"/>
          <w:lang w:val="en-GB"/>
        </w:rPr>
        <w:t>:</w:t>
      </w:r>
      <w:r>
        <w:rPr>
          <w:lang w:val="en-GB"/>
        </w:rPr>
        <w:t xml:space="preserve"> </w:t>
      </w:r>
      <w:r>
        <w:t>The maximum number of HARQ processes in NR specification is 8 across all SCS</w:t>
      </w:r>
      <w:r>
        <w:rPr>
          <w:rFonts w:eastAsia="Times New Roman"/>
        </w:rPr>
        <w:t>, but should also be semi-statically configurable to a lower number for each UE depending on other aspects such as RTT, bandwidth, and throughput configurations.</w:t>
      </w:r>
    </w:p>
    <w:p w14:paraId="3E0EEB0C" w14:textId="255B1408" w:rsidR="00705902" w:rsidRDefault="00B81587" w:rsidP="00705902">
      <w:pPr>
        <w:pStyle w:val="Heading2"/>
      </w:pPr>
      <w:r>
        <w:t>Soft b</w:t>
      </w:r>
      <w:r w:rsidR="00705902">
        <w:t xml:space="preserve">uffer </w:t>
      </w:r>
      <w:r>
        <w:t>d</w:t>
      </w:r>
      <w:r w:rsidR="00705902">
        <w:t>imensioning</w:t>
      </w:r>
      <w:r>
        <w:t xml:space="preserve"> for peak rate</w:t>
      </w:r>
    </w:p>
    <w:p w14:paraId="5D5BF310" w14:textId="77777777" w:rsidR="00705902" w:rsidRDefault="00705902" w:rsidP="00705902">
      <w:pPr>
        <w:rPr>
          <w:lang w:val="en-GB"/>
        </w:rPr>
      </w:pPr>
      <w:r>
        <w:rPr>
          <w:lang w:val="en-GB"/>
        </w:rPr>
        <w:t xml:space="preserve">It is expected that the peak throughput envisioned for NR EMBB devices would be at least multi-gigibit-per-second. If the LTE scheme of sizing soft buffer is used, i.e. </w:t>
      </w:r>
    </w:p>
    <w:p w14:paraId="2B88A67F" w14:textId="77777777" w:rsidR="00705902" w:rsidRDefault="00705902" w:rsidP="00705902">
      <w:pPr>
        <w:jc w:val="center"/>
        <w:rPr>
          <w:lang w:val="en-GB"/>
        </w:rPr>
      </w:pPr>
      <w:r>
        <w:rPr>
          <w:lang w:val="en-GB"/>
        </w:rPr>
        <w:t>(max number of HARQ processes) * (TTI duration) * (peak throughput) / (LBRM factor) * (bits per LLR)</w:t>
      </w:r>
    </w:p>
    <w:p w14:paraId="34682F61" w14:textId="77777777" w:rsidR="00705902" w:rsidRDefault="00705902" w:rsidP="00705902">
      <w:pPr>
        <w:rPr>
          <w:lang w:val="en-GB"/>
        </w:rPr>
      </w:pPr>
      <w:r>
        <w:rPr>
          <w:lang w:val="en-GB"/>
        </w:rPr>
        <w:t>The limited buffer rate matching (LBRM) factor equals 1/mother code rate used when serving the peak rate, where the peak rate corresponds to the largest data payload achieving across maximum bandwidth and MIMO layers in a given TTI. In the case of LTE, the LBRM factor would correspond to 3/2 since the mother code rate is limited to 2/3 when operating at peak data rate. This would result in exorbitant amount of storage requirement for NR, assuming max number of HARQ processes for NR is at most 8. That is, assuming 30kHz SCS, 0.5msec slot duration, 5Gbps peak throughput, and 6 bit per LLR in the following:</w:t>
      </w:r>
    </w:p>
    <w:p w14:paraId="1BEE5C87" w14:textId="77777777" w:rsidR="00705902" w:rsidRDefault="00705902" w:rsidP="00705902">
      <w:pPr>
        <w:jc w:val="center"/>
        <w:rPr>
          <w:lang w:val="en-GB"/>
        </w:rPr>
      </w:pPr>
      <w:r>
        <w:rPr>
          <w:lang w:val="en-GB"/>
        </w:rPr>
        <w:t>8 * 0.5 msec * 5 Gbps * 3/2 * 6 = 180 Mbits = 22.5 Mbytes</w:t>
      </w:r>
    </w:p>
    <w:p w14:paraId="22607B0A" w14:textId="77777777" w:rsidR="00705902" w:rsidRDefault="00705902" w:rsidP="00705902">
      <w:pPr>
        <w:rPr>
          <w:lang w:val="en-GB"/>
        </w:rPr>
      </w:pPr>
      <w:r>
        <w:rPr>
          <w:lang w:val="en-GB"/>
        </w:rPr>
        <w:t>This is significant amount of storage, and limits the hardware architecture design options (for example, the choice of memory to be cost effective).</w:t>
      </w:r>
    </w:p>
    <w:p w14:paraId="6A5CF9DC" w14:textId="77777777" w:rsidR="00705902" w:rsidRDefault="00705902" w:rsidP="00705902">
      <w:pPr>
        <w:rPr>
          <w:lang w:val="en-GB"/>
        </w:rPr>
      </w:pPr>
      <w:r>
        <w:rPr>
          <w:lang w:val="en-GB"/>
        </w:rPr>
        <w:t>In the following, another methodology for soft buffer dimensioning that would arrive at a better cost-performance tradeoff for NR will be proposed.</w:t>
      </w:r>
    </w:p>
    <w:p w14:paraId="0BEA54DA" w14:textId="77777777" w:rsidR="00705902" w:rsidRDefault="00705902" w:rsidP="00705902">
      <w:pPr>
        <w:rPr>
          <w:lang w:val="en-GB"/>
        </w:rPr>
      </w:pPr>
      <w:r>
        <w:rPr>
          <w:lang w:val="en-GB"/>
        </w:rPr>
        <w:t>First, instead of max number of HARQ processes, the reference number of HARQ processes would be use for soft buffer dimensioning. This reference number would correspond to a particular reference HARQ RTT when taken into consideration with the TTI, although the deployment may not necessarily have require this HARQ RTT. If the network has a smaller HARQ RTT, then the soft buffer would be over-provisioned. If the network has a larger HARQ RTT, then it would need to trade off HARQ combining gain against peak rate. If peak rate is the more important metric, than the network can revert to ARQ without exceeding the soft buffer dimensioning of the UE. If HARQ combining gain and reliability is the more important metric, than the network can tradeoff peak rate so that the soft-buffer has capacity to account for the combining needed.</w:t>
      </w:r>
    </w:p>
    <w:p w14:paraId="37C5E033" w14:textId="77777777" w:rsidR="00705902" w:rsidRDefault="00705902" w:rsidP="00705902">
      <w:pPr>
        <w:rPr>
          <w:lang w:val="en-GB"/>
        </w:rPr>
      </w:pPr>
      <w:r>
        <w:rPr>
          <w:lang w:val="en-GB"/>
        </w:rPr>
        <w:t>By a similar argument, the reference channel code rate could be higher since the limitation of 2/3 mother code rate for LBRM need not be assumed to apply uniformly across all HARQ processes. At the minimum, only the inverse of the channel code rate used at the peak data rate needs to be accounted almost all of the time (i.e., as often as packet passes). Given that the highest unpunctured code rate supported by NR LDPC code is 8/9, the following would be the soft buffer storage requirement at the same SCS, slot duration, and peak throughput:</w:t>
      </w:r>
    </w:p>
    <w:p w14:paraId="3D36D66D" w14:textId="77777777" w:rsidR="00705902" w:rsidRDefault="00705902" w:rsidP="00705902">
      <w:pPr>
        <w:jc w:val="center"/>
        <w:rPr>
          <w:lang w:val="en-GB"/>
        </w:rPr>
      </w:pPr>
      <w:r>
        <w:rPr>
          <w:lang w:val="en-GB"/>
        </w:rPr>
        <w:t>3 * 0.5 msec * 5 Gbps * 9/8 * 6 = 50.625 Mbits = 6.33 Mbytes</w:t>
      </w:r>
    </w:p>
    <w:p w14:paraId="7BCCDB87" w14:textId="77777777" w:rsidR="00705902" w:rsidRDefault="00705902" w:rsidP="00705902">
      <w:pPr>
        <w:rPr>
          <w:lang w:val="en-GB"/>
        </w:rPr>
      </w:pPr>
      <w:r>
        <w:rPr>
          <w:lang w:val="en-GB"/>
        </w:rPr>
        <w:t>This is slightly more than 70% reduction in storage requirement compared to the LTE scheme.</w:t>
      </w:r>
    </w:p>
    <w:p w14:paraId="7D0EB244" w14:textId="6272D79D" w:rsidR="00705902" w:rsidRDefault="00705902" w:rsidP="00705902">
      <w:r>
        <w:rPr>
          <w:lang w:val="en-GB"/>
        </w:rPr>
        <w:t>It should be emphasized that the reason for targeting lower HARQ RTT when considering very high throughputs, is that typical applications (e.g., those on TCP) will not be able to use the high physical layer throughputs otherwise. A detailed analysis was presented in</w:t>
      </w:r>
      <w:r w:rsidR="00FE5077">
        <w:rPr>
          <w:lang w:val="en-GB"/>
        </w:rPr>
        <w:t xml:space="preserve"> </w:t>
      </w:r>
      <w:r w:rsidR="00FE5077">
        <w:rPr>
          <w:lang w:val="en-GB"/>
        </w:rPr>
        <w:fldChar w:fldCharType="begin"/>
      </w:r>
      <w:r w:rsidR="00FE5077">
        <w:rPr>
          <w:lang w:val="en-GB"/>
        </w:rPr>
        <w:instrText xml:space="preserve"> REF _Ref492911265 \r \h </w:instrText>
      </w:r>
      <w:r w:rsidR="00FE5077">
        <w:rPr>
          <w:lang w:val="en-GB"/>
        </w:rPr>
      </w:r>
      <w:r w:rsidR="00FE5077">
        <w:rPr>
          <w:lang w:val="en-GB"/>
        </w:rPr>
        <w:fldChar w:fldCharType="separate"/>
      </w:r>
      <w:r w:rsidR="00FE5077">
        <w:rPr>
          <w:lang w:val="en-GB"/>
        </w:rPr>
        <w:t>[6]</w:t>
      </w:r>
      <w:r w:rsidR="00FE5077">
        <w:rPr>
          <w:lang w:val="en-GB"/>
        </w:rPr>
        <w:fldChar w:fldCharType="end"/>
      </w:r>
      <w:r>
        <w:rPr>
          <w:lang w:val="en-GB"/>
        </w:rPr>
        <w:t xml:space="preserve">, and example is shown below from this reference. </w:t>
      </w:r>
      <w:r>
        <w:t>Here we see that even though the offered physical layer rate is 10Gbps, the effect of TCP slow start means that the transaction utilizes less than 1Gbps, and this dramatically decreases as the RTT increases.</w:t>
      </w:r>
    </w:p>
    <w:p w14:paraId="37D9CE05" w14:textId="77777777" w:rsidR="00705902" w:rsidRDefault="00705902" w:rsidP="00705902">
      <w:pPr>
        <w:rPr>
          <w:lang w:val="en-GB"/>
        </w:rPr>
      </w:pPr>
    </w:p>
    <w:p w14:paraId="39C15E46" w14:textId="77777777" w:rsidR="00705902" w:rsidRDefault="00705902" w:rsidP="00705902">
      <w:pPr>
        <w:keepNext/>
        <w:jc w:val="center"/>
      </w:pPr>
      <w:r>
        <w:rPr>
          <w:noProof/>
        </w:rPr>
        <w:drawing>
          <wp:inline distT="0" distB="0" distL="0" distR="0" wp14:anchorId="007EFAD8" wp14:editId="2269E140">
            <wp:extent cx="5867400" cy="3455011"/>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881146" cy="3463105"/>
                    </a:xfrm>
                    <a:prstGeom prst="rect">
                      <a:avLst/>
                    </a:prstGeom>
                  </pic:spPr>
                </pic:pic>
              </a:graphicData>
            </a:graphic>
          </wp:inline>
        </w:drawing>
      </w:r>
    </w:p>
    <w:p w14:paraId="191B79F5" w14:textId="24E6F0BA" w:rsidR="00943ADF" w:rsidRDefault="00705902" w:rsidP="00497577">
      <w:pPr>
        <w:pStyle w:val="Caption"/>
        <w:jc w:val="center"/>
      </w:pPr>
      <w:bookmarkStart w:id="2" w:name="_Ref485396426"/>
      <w:r>
        <w:t xml:space="preserve">Figure </w:t>
      </w:r>
      <w:fldSimple w:instr=" SEQ Figure \* ARABIC ">
        <w:r>
          <w:rPr>
            <w:noProof/>
          </w:rPr>
          <w:t>4</w:t>
        </w:r>
      </w:fldSimple>
      <w:bookmarkEnd w:id="2"/>
      <w:r>
        <w:t>. Measured TCP Throughput sensitivity to latency and PER when PHY=10Gbps from</w:t>
      </w:r>
      <w:r w:rsidR="009B7AB2">
        <w:t xml:space="preserve"> </w:t>
      </w:r>
      <w:r w:rsidR="009B7AB2">
        <w:rPr>
          <w:lang w:val="en-GB"/>
        </w:rPr>
        <w:fldChar w:fldCharType="begin"/>
      </w:r>
      <w:r w:rsidR="009B7AB2">
        <w:rPr>
          <w:lang w:val="en-GB"/>
        </w:rPr>
        <w:instrText xml:space="preserve"> REF _Ref492911265 \r \h </w:instrText>
      </w:r>
      <w:r w:rsidR="009B7AB2">
        <w:rPr>
          <w:lang w:val="en-GB"/>
        </w:rPr>
      </w:r>
      <w:r w:rsidR="009B7AB2">
        <w:rPr>
          <w:lang w:val="en-GB"/>
        </w:rPr>
        <w:fldChar w:fldCharType="separate"/>
      </w:r>
      <w:r w:rsidR="009B7AB2">
        <w:rPr>
          <w:lang w:val="en-GB"/>
        </w:rPr>
        <w:t>[6]</w:t>
      </w:r>
      <w:r w:rsidR="009B7AB2">
        <w:rPr>
          <w:lang w:val="en-GB"/>
        </w:rPr>
        <w:fldChar w:fldCharType="end"/>
      </w:r>
      <w:r w:rsidR="009B7AB2">
        <w:t xml:space="preserve"> </w:t>
      </w:r>
    </w:p>
    <w:p w14:paraId="00924BF3" w14:textId="77777777" w:rsidR="003D50C9" w:rsidRDefault="003D50C9" w:rsidP="003D50C9"/>
    <w:p w14:paraId="54A8058F" w14:textId="2A83716D" w:rsidR="003D50C9" w:rsidRPr="003D50C9" w:rsidRDefault="003D50C9" w:rsidP="003D50C9">
      <w:pPr>
        <w:rPr>
          <w:rFonts w:eastAsia="MS Mincho"/>
          <w:iCs/>
          <w:lang w:eastAsia="ja-JP"/>
        </w:rPr>
      </w:pPr>
      <w:r w:rsidRPr="000814BF">
        <w:rPr>
          <w:b/>
          <w:u w:val="single"/>
        </w:rPr>
        <w:t>Proposal</w:t>
      </w:r>
      <w:r w:rsidR="000814BF" w:rsidRPr="000814BF">
        <w:rPr>
          <w:b/>
          <w:u w:val="single"/>
        </w:rPr>
        <w:t xml:space="preserve"> </w:t>
      </w:r>
      <w:r w:rsidR="0051314E">
        <w:rPr>
          <w:b/>
          <w:u w:val="single"/>
        </w:rPr>
        <w:t>4</w:t>
      </w:r>
      <w:r w:rsidRPr="000814BF">
        <w:rPr>
          <w:b/>
          <w:u w:val="single"/>
        </w:rPr>
        <w:t>:</w:t>
      </w:r>
      <w:r>
        <w:t xml:space="preserve"> A </w:t>
      </w:r>
      <w:r w:rsidRPr="003D50C9">
        <w:rPr>
          <w:rFonts w:eastAsia="MS Mincho"/>
          <w:iCs/>
          <w:lang w:eastAsia="ja-JP"/>
        </w:rPr>
        <w:t xml:space="preserve">set of reference parameters </w:t>
      </w:r>
      <w:r w:rsidR="000814BF">
        <w:rPr>
          <w:rFonts w:eastAsia="MS Mincho"/>
          <w:iCs/>
          <w:lang w:eastAsia="ja-JP"/>
        </w:rPr>
        <w:t>should be</w:t>
      </w:r>
      <w:r w:rsidRPr="003D50C9">
        <w:rPr>
          <w:rFonts w:eastAsia="MS Mincho"/>
          <w:iCs/>
          <w:lang w:eastAsia="ja-JP"/>
        </w:rPr>
        <w:t xml:space="preserve"> </w:t>
      </w:r>
      <w:r w:rsidR="000814BF">
        <w:rPr>
          <w:rFonts w:eastAsia="MS Mincho"/>
          <w:iCs/>
          <w:lang w:eastAsia="ja-JP"/>
        </w:rPr>
        <w:t xml:space="preserve">considered </w:t>
      </w:r>
      <w:r w:rsidRPr="003D50C9">
        <w:rPr>
          <w:rFonts w:eastAsia="MS Mincho"/>
          <w:iCs/>
          <w:lang w:eastAsia="ja-JP"/>
        </w:rPr>
        <w:t>soft buffer dimensioning</w:t>
      </w:r>
      <w:r w:rsidR="000814BF">
        <w:rPr>
          <w:rFonts w:eastAsia="MS Mincho"/>
          <w:iCs/>
          <w:lang w:eastAsia="ja-JP"/>
        </w:rPr>
        <w:t xml:space="preserve"> which </w:t>
      </w:r>
      <w:r>
        <w:rPr>
          <w:rFonts w:eastAsia="MS Mincho"/>
          <w:iCs/>
          <w:lang w:eastAsia="ja-JP"/>
        </w:rPr>
        <w:t xml:space="preserve">targets a downlink HARQ RTT of 1.5ms for a </w:t>
      </w:r>
      <w:r w:rsidR="008C6468">
        <w:rPr>
          <w:rFonts w:eastAsia="MS Mincho"/>
          <w:iCs/>
          <w:lang w:eastAsia="ja-JP"/>
        </w:rPr>
        <w:t>data rate of 5Gbps.</w:t>
      </w:r>
    </w:p>
    <w:p w14:paraId="4D605959" w14:textId="77777777" w:rsidR="003D50C9" w:rsidRPr="003D50C9" w:rsidRDefault="003D50C9" w:rsidP="003D50C9"/>
    <w:p w14:paraId="38A91613" w14:textId="3D02D838" w:rsidR="00FC080D" w:rsidRDefault="005B796D" w:rsidP="005B796D">
      <w:pPr>
        <w:pStyle w:val="Heading1"/>
      </w:pPr>
      <w:r>
        <w:t>Soft Buffer Management</w:t>
      </w:r>
    </w:p>
    <w:p w14:paraId="3DC14298" w14:textId="63F03A2D" w:rsidR="00613E6B" w:rsidRDefault="009D754C" w:rsidP="0098481D">
      <w:pPr>
        <w:rPr>
          <w:lang w:val="en-GB"/>
        </w:rPr>
      </w:pPr>
      <w:r>
        <w:rPr>
          <w:lang w:val="en-GB"/>
        </w:rPr>
        <w:t>It is also important to consider soft buffer management and how it might be handled in NR across different deployment topologies and use cases. As with the earlier discussion on soft buffer dimensioning, there are aspects which are beneficial to address without directly coupling the UE soft buffer size with the transmit rate matching buffer.</w:t>
      </w:r>
    </w:p>
    <w:p w14:paraId="7E7717BE" w14:textId="77777777" w:rsidR="009D754C" w:rsidRDefault="009D754C" w:rsidP="009D754C">
      <w:pPr>
        <w:pStyle w:val="Heading2"/>
      </w:pPr>
      <w:r>
        <w:t>UE HARQ Delay Reduction</w:t>
      </w:r>
    </w:p>
    <w:p w14:paraId="39D6D281" w14:textId="77777777" w:rsidR="009D754C" w:rsidRDefault="009D754C" w:rsidP="009D754C">
      <w:pPr>
        <w:rPr>
          <w:lang w:val="en-GB"/>
        </w:rPr>
      </w:pPr>
      <w:r>
        <w:rPr>
          <w:lang w:val="en-GB"/>
        </w:rPr>
        <w:t>Generally, the number of HARQ processes should be same as HARQ RTT in order to give gNB scheduler maximum flexibility in scheduling and to support back-to-back scheduling to the same user. For DL, HARQ RTT is the total time of UE HARQ delay (K0+K1) and gNB HARQ delay (K3).</w:t>
      </w:r>
    </w:p>
    <w:p w14:paraId="015669B9" w14:textId="77777777" w:rsidR="009D754C" w:rsidRDefault="009D754C" w:rsidP="009D754C">
      <w:pPr>
        <w:rPr>
          <w:lang w:val="en-GB"/>
        </w:rPr>
      </w:pPr>
      <w:r>
        <w:rPr>
          <w:lang w:val="en-GB"/>
        </w:rPr>
        <w:t>Suppose HARQ RTT is denoted as N and it starts off as K0+K1+K3, where K0+K1 is non-zero. Note that K0 is typically zero (as in the case of LTE) and non-zero only if cross-slot scheduling is configured. If UE HARQ delay can be reduced due to operation of the self-contained slot structure, for which K0’ = K1’ = 0, there are two options to account for this change in HARQ:</w:t>
      </w:r>
    </w:p>
    <w:p w14:paraId="6B227CED" w14:textId="77777777" w:rsidR="009D754C" w:rsidRDefault="009D754C" w:rsidP="009D754C">
      <w:pPr>
        <w:pStyle w:val="ListParagraph"/>
        <w:numPr>
          <w:ilvl w:val="0"/>
          <w:numId w:val="12"/>
        </w:numPr>
        <w:rPr>
          <w:lang w:val="en-GB"/>
        </w:rPr>
      </w:pPr>
      <w:r>
        <w:rPr>
          <w:lang w:val="en-GB"/>
        </w:rPr>
        <w:t>Increase K3 by K0+K1 to keep the same N</w:t>
      </w:r>
    </w:p>
    <w:p w14:paraId="251F7C13" w14:textId="77777777" w:rsidR="009D754C" w:rsidRDefault="009D754C" w:rsidP="009D754C">
      <w:pPr>
        <w:pStyle w:val="ListParagraph"/>
        <w:numPr>
          <w:ilvl w:val="0"/>
          <w:numId w:val="12"/>
        </w:numPr>
        <w:rPr>
          <w:lang w:val="en-GB"/>
        </w:rPr>
      </w:pPr>
      <w:r>
        <w:rPr>
          <w:lang w:val="en-GB"/>
        </w:rPr>
        <w:t>Reduce N by K0+K1, while keeping K3 unchanged</w:t>
      </w:r>
    </w:p>
    <w:p w14:paraId="43E79A2D" w14:textId="77777777" w:rsidR="009D754C" w:rsidRDefault="009D754C" w:rsidP="009D754C">
      <w:pPr>
        <w:rPr>
          <w:lang w:val="en-GB"/>
        </w:rPr>
      </w:pPr>
    </w:p>
    <w:p w14:paraId="27128FCF" w14:textId="77777777" w:rsidR="009D754C" w:rsidRDefault="009D754C" w:rsidP="009D754C">
      <w:pPr>
        <w:rPr>
          <w:lang w:val="en-GB"/>
        </w:rPr>
      </w:pPr>
      <w:r>
        <w:rPr>
          <w:lang w:val="en-GB"/>
        </w:rPr>
        <w:lastRenderedPageBreak/>
        <w:t>It does not seem justifiable to implement Option (1) because there seems to be no reason for gNB to gain HARQ delay budget because UE is able to optimize its HARQ delay. Instead, (2) is more reasonable and more efficient system-wide.</w:t>
      </w:r>
    </w:p>
    <w:p w14:paraId="0E23BB6A" w14:textId="77777777" w:rsidR="009D754C" w:rsidRDefault="009D754C" w:rsidP="009D754C">
      <w:pPr>
        <w:rPr>
          <w:lang w:val="en-GB"/>
        </w:rPr>
      </w:pPr>
      <w:r>
        <w:rPr>
          <w:lang w:val="en-GB"/>
        </w:rPr>
        <w:t>If UE HARQ delay is reduced due to UE-side optimization, gNB HARQ delay should not be allowed to grow to inflate the HARQ RTT to maintain the same max number of HARQ processes.</w:t>
      </w:r>
    </w:p>
    <w:p w14:paraId="11F4AE76" w14:textId="6E39D8C4" w:rsidR="009D754C" w:rsidRPr="0098481D" w:rsidRDefault="009D754C" w:rsidP="0098481D">
      <w:pPr>
        <w:rPr>
          <w:lang w:val="en-GB"/>
        </w:rPr>
      </w:pPr>
      <w:r>
        <w:rPr>
          <w:lang w:val="en-GB"/>
        </w:rPr>
        <w:t>In principle, for HARQ RTT determination it is recommended to assume a relatively small gNB HARQ delay which can be considered typical. UE soft buffer size requirement should be based on a typical HARQ RTT. For deployment scenarios where the cell size is very large or if the front-haul/back-haul setup requires a larger gNB HARQ delay, the required HARQ RTT becomes larger and the number of HARQ processes may increase, but at the expense of reducing the supported throughput and/or support for HARQ, while still staying below the same UE soft buffer size requirement derived from the typical scena</w:t>
      </w:r>
      <w:r w:rsidR="00E03401">
        <w:rPr>
          <w:lang w:val="en-GB"/>
        </w:rPr>
        <w:t xml:space="preserve">rio. </w:t>
      </w:r>
      <w:r>
        <w:rPr>
          <w:lang w:val="en-GB"/>
        </w:rPr>
        <w:t>In determining the max number of HARQ processes, gNB HARQ delay should be determined based on typical processing and latency requirements on the gNB, independent of the UE HARQ delay.</w:t>
      </w:r>
    </w:p>
    <w:p w14:paraId="7C34D7C0" w14:textId="38A0B714" w:rsidR="0036739B" w:rsidRPr="0036739B" w:rsidRDefault="00B178D5" w:rsidP="00210F16">
      <w:pPr>
        <w:pStyle w:val="Heading2"/>
      </w:pPr>
      <w:r>
        <w:t>Memory Partitioning</w:t>
      </w:r>
    </w:p>
    <w:p w14:paraId="66397C3D" w14:textId="4BB45FDA" w:rsidR="00210F16" w:rsidRDefault="00210F16" w:rsidP="00210F16">
      <w:pPr>
        <w:pStyle w:val="Heading3"/>
      </w:pPr>
      <w:r>
        <w:t>Use Cases for Allocation among HARQ Processes</w:t>
      </w:r>
    </w:p>
    <w:p w14:paraId="3662E139" w14:textId="3AA1A4BB" w:rsidR="00AE4646" w:rsidRPr="0098481D" w:rsidRDefault="00AE4646" w:rsidP="0098481D">
      <w:pPr>
        <w:rPr>
          <w:u w:val="single"/>
          <w:lang w:val="en-GB"/>
        </w:rPr>
      </w:pPr>
      <w:r>
        <w:rPr>
          <w:u w:val="single"/>
          <w:lang w:val="en-GB"/>
        </w:rPr>
        <w:t>Non-peak Throughput Scenario</w:t>
      </w:r>
    </w:p>
    <w:p w14:paraId="4D068067" w14:textId="43307E1C" w:rsidR="00FC080D" w:rsidRDefault="00AE4646" w:rsidP="0098481D">
      <w:pPr>
        <w:rPr>
          <w:lang w:val="en-GB"/>
        </w:rPr>
      </w:pPr>
      <w:r>
        <w:rPr>
          <w:lang w:val="en-GB"/>
        </w:rPr>
        <w:t>Given the soft buffer memory is sized for peak throughput, when the UE is operating with non-peak throughput, lower LBRM rate may be achieved. Basically, the RV range supported by the soft buffer is enhanced, and RV buffer can match accordingly. This allows gNB to transmit more new RV until the mother code rate of 1/3 is reached; After that, repetition combining is done if decoding still does not pass.</w:t>
      </w:r>
    </w:p>
    <w:p w14:paraId="65E04AA8" w14:textId="6DE4DDC4" w:rsidR="00AE4646" w:rsidRDefault="000F7F8C" w:rsidP="0098481D">
      <w:pPr>
        <w:rPr>
          <w:lang w:val="en-GB"/>
        </w:rPr>
      </w:pPr>
      <w:r>
        <w:rPr>
          <w:lang w:val="en-GB"/>
        </w:rPr>
        <w:t xml:space="preserve">If </w:t>
      </w:r>
      <w:r w:rsidR="00AE4646">
        <w:rPr>
          <w:lang w:val="en-GB"/>
        </w:rPr>
        <w:t xml:space="preserve">gNB is aware of UE soft buffer size and the peak throughput capability, it can work out the increase in RV range. Some coordination between gNB and UE </w:t>
      </w:r>
      <w:r>
        <w:rPr>
          <w:lang w:val="en-GB"/>
        </w:rPr>
        <w:t xml:space="preserve">could </w:t>
      </w:r>
      <w:r w:rsidR="00AE4646">
        <w:rPr>
          <w:lang w:val="en-GB"/>
        </w:rPr>
        <w:t xml:space="preserve">be helpful </w:t>
      </w:r>
      <w:r>
        <w:rPr>
          <w:lang w:val="en-GB"/>
        </w:rPr>
        <w:t>although may not be</w:t>
      </w:r>
      <w:r w:rsidR="00AE4646">
        <w:rPr>
          <w:lang w:val="en-GB"/>
        </w:rPr>
        <w:t xml:space="preserve"> absolutely necessary.</w:t>
      </w:r>
    </w:p>
    <w:p w14:paraId="16E99CFB" w14:textId="1D9AFC17" w:rsidR="00AE4646" w:rsidRDefault="00AE4646" w:rsidP="0098481D">
      <w:pPr>
        <w:rPr>
          <w:lang w:val="en-GB"/>
        </w:rPr>
      </w:pPr>
      <w:r>
        <w:rPr>
          <w:u w:val="single"/>
          <w:lang w:val="en-GB"/>
        </w:rPr>
        <w:t>Large RTT Scenario</w:t>
      </w:r>
    </w:p>
    <w:p w14:paraId="5DC5AF5B" w14:textId="50F26A12" w:rsidR="00AE4646" w:rsidRDefault="00AE4646" w:rsidP="0098481D">
      <w:pPr>
        <w:rPr>
          <w:lang w:val="en-GB"/>
        </w:rPr>
      </w:pPr>
      <w:r>
        <w:rPr>
          <w:lang w:val="en-GB"/>
        </w:rPr>
        <w:t xml:space="preserve">In the proposal, soft buffer is sized based on peak throughput and reference number of HARQ processes. If the real RTT requirement is larger than what the reference number of HARQ processes can support, higher number of HARQ processes </w:t>
      </w:r>
      <w:r w:rsidR="00D42A40">
        <w:rPr>
          <w:lang w:val="en-GB"/>
        </w:rPr>
        <w:t xml:space="preserve">may </w:t>
      </w:r>
      <w:r>
        <w:rPr>
          <w:lang w:val="en-GB"/>
        </w:rPr>
        <w:t>need to be configured.</w:t>
      </w:r>
    </w:p>
    <w:p w14:paraId="194F9745" w14:textId="4FF53409" w:rsidR="00BA1E41" w:rsidRDefault="00BA1E41" w:rsidP="0098481D">
      <w:pPr>
        <w:rPr>
          <w:lang w:val="en-GB"/>
        </w:rPr>
      </w:pPr>
      <w:r>
        <w:rPr>
          <w:lang w:val="en-GB"/>
        </w:rPr>
        <w:t xml:space="preserve">To stay within the soft buffer size already provisioned, UE implementation can determine how to reduce the storage requirement. </w:t>
      </w:r>
      <w:r w:rsidR="00F90EB6">
        <w:rPr>
          <w:lang w:val="en-GB"/>
        </w:rPr>
        <w:t xml:space="preserve">The system may tradeoff HARQ gain for maintaining peak throughput. </w:t>
      </w:r>
      <w:r>
        <w:rPr>
          <w:lang w:val="en-GB"/>
        </w:rPr>
        <w:t xml:space="preserve">If the scenario permits, lowering the peak throughput supported would be another </w:t>
      </w:r>
      <w:r w:rsidR="00F90EB6">
        <w:rPr>
          <w:lang w:val="en-GB"/>
        </w:rPr>
        <w:t>option</w:t>
      </w:r>
      <w:r>
        <w:rPr>
          <w:lang w:val="en-GB"/>
        </w:rPr>
        <w:t>.</w:t>
      </w:r>
    </w:p>
    <w:p w14:paraId="669ABE1E" w14:textId="56A677CA" w:rsidR="00F033DE" w:rsidRDefault="00F033DE" w:rsidP="0098481D">
      <w:pPr>
        <w:rPr>
          <w:lang w:val="en-GB"/>
        </w:rPr>
      </w:pPr>
      <w:r>
        <w:rPr>
          <w:lang w:val="en-GB"/>
        </w:rPr>
        <w:t xml:space="preserve">Max number of HARQ processes of 8 should be sufficient </w:t>
      </w:r>
      <w:r w:rsidR="00C57D6C">
        <w:rPr>
          <w:lang w:val="en-GB"/>
        </w:rPr>
        <w:t>for most of the cases</w:t>
      </w:r>
      <w:r>
        <w:rPr>
          <w:lang w:val="en-GB"/>
        </w:rPr>
        <w:t xml:space="preserve">. </w:t>
      </w:r>
      <w:r w:rsidR="00C57D6C">
        <w:rPr>
          <w:lang w:val="en-GB"/>
        </w:rPr>
        <w:t xml:space="preserve">For very large cell, typically smaller component bandwidth is used, and 15kHz SCS is advantageous. The max number of HARQ processes </w:t>
      </w:r>
      <w:r>
        <w:rPr>
          <w:lang w:val="en-GB"/>
        </w:rPr>
        <w:t>would be the same as LTE FDD</w:t>
      </w:r>
      <w:r w:rsidR="00BA1E41">
        <w:rPr>
          <w:lang w:val="en-GB"/>
        </w:rPr>
        <w:t xml:space="preserve"> for the same RTT</w:t>
      </w:r>
      <w:r>
        <w:rPr>
          <w:lang w:val="en-GB"/>
        </w:rPr>
        <w:t>.</w:t>
      </w:r>
      <w:r w:rsidR="00C57D6C">
        <w:rPr>
          <w:lang w:val="en-GB"/>
        </w:rPr>
        <w:t xml:space="preserve"> In the cases that RTT is so large that 8 HARQ processes is not enough, the system can operate with ARQ for which HARQ processes would not be needed.</w:t>
      </w:r>
      <w:r w:rsidR="00BA1E41">
        <w:rPr>
          <w:lang w:val="en-GB"/>
        </w:rPr>
        <w:t xml:space="preserve"> It is important to optimize NR for the typical use cases and not let the requirements for corner cases drive up the overhead for signalling</w:t>
      </w:r>
      <w:r w:rsidR="00450D77">
        <w:rPr>
          <w:lang w:val="en-GB"/>
        </w:rPr>
        <w:t xml:space="preserve"> and hardware complexity at the receiver</w:t>
      </w:r>
      <w:r w:rsidR="00BA1E41">
        <w:rPr>
          <w:lang w:val="en-GB"/>
        </w:rPr>
        <w:t>.</w:t>
      </w:r>
    </w:p>
    <w:p w14:paraId="650B3E8E" w14:textId="4BE629CC" w:rsidR="00210F16" w:rsidRDefault="00210F16" w:rsidP="00210F16">
      <w:pPr>
        <w:pStyle w:val="Heading3"/>
      </w:pPr>
      <w:r>
        <w:t>Semi-Static Partitioning</w:t>
      </w:r>
    </w:p>
    <w:p w14:paraId="7E99F3CF" w14:textId="38CCE214" w:rsidR="00EB7E88" w:rsidRDefault="00210F16" w:rsidP="0098481D">
      <w:pPr>
        <w:rPr>
          <w:lang w:val="en-GB"/>
        </w:rPr>
      </w:pPr>
      <w:r>
        <w:rPr>
          <w:lang w:val="en-GB"/>
        </w:rPr>
        <w:t xml:space="preserve">Although there are use cases where the buffer can be managed more efficiently across each use case, it is important to realize that pure dynamic management may be a costly assumption given the throughputs and variations possible in wireless environments. Some level of partitioning is beneficial to trading off this cost, e.g., to avoid inefficiencies and complex cleanup routines such as memory de-fragmenting, etc. </w:t>
      </w:r>
    </w:p>
    <w:p w14:paraId="2709EAB7" w14:textId="42999F09" w:rsidR="00210F16" w:rsidRDefault="00210F16" w:rsidP="0098481D">
      <w:pPr>
        <w:rPr>
          <w:lang w:val="en-GB"/>
        </w:rPr>
      </w:pPr>
      <w:r w:rsidRPr="00006DD7">
        <w:rPr>
          <w:b/>
          <w:u w:val="single"/>
          <w:lang w:val="en-GB"/>
        </w:rPr>
        <w:t xml:space="preserve">Proposal </w:t>
      </w:r>
      <w:r w:rsidR="00006DD7" w:rsidRPr="00006DD7">
        <w:rPr>
          <w:b/>
          <w:u w:val="single"/>
          <w:lang w:val="en-GB"/>
        </w:rPr>
        <w:t>5</w:t>
      </w:r>
      <w:r w:rsidRPr="00006DD7">
        <w:rPr>
          <w:b/>
          <w:u w:val="single"/>
          <w:lang w:val="en-GB"/>
        </w:rPr>
        <w:t>:</w:t>
      </w:r>
      <w:r>
        <w:rPr>
          <w:lang w:val="en-GB"/>
        </w:rPr>
        <w:t xml:space="preserve"> Soft buffer management based on semi-static partitioning </w:t>
      </w:r>
      <w:r w:rsidR="003135CA">
        <w:rPr>
          <w:lang w:val="en-GB"/>
        </w:rPr>
        <w:t xml:space="preserve">across HARQ processes </w:t>
      </w:r>
      <w:r>
        <w:rPr>
          <w:lang w:val="en-GB"/>
        </w:rPr>
        <w:t>should be at least supported in NR.</w:t>
      </w:r>
    </w:p>
    <w:p w14:paraId="16167727" w14:textId="7EBC809F" w:rsidR="003135CA" w:rsidRDefault="003135CA" w:rsidP="0098481D">
      <w:pPr>
        <w:rPr>
          <w:lang w:val="en-GB"/>
        </w:rPr>
      </w:pPr>
      <w:r>
        <w:rPr>
          <w:lang w:val="en-GB"/>
        </w:rPr>
        <w:t xml:space="preserve">It is important to note that this requirement does not completely preclude dynamic soft buffer management. There are options whereby the RV transmit buffer can budget full IR HARQ for a fixed number of HARQ processes (configured for each UE), and as the number of </w:t>
      </w:r>
      <w:r>
        <w:rPr>
          <w:i/>
          <w:lang w:val="en-GB"/>
        </w:rPr>
        <w:t xml:space="preserve">active </w:t>
      </w:r>
      <w:r>
        <w:rPr>
          <w:lang w:val="en-GB"/>
        </w:rPr>
        <w:t xml:space="preserve">HARQ processes exceeds this fixed number then it is understood at both the transmitted and receiver that no </w:t>
      </w:r>
      <w:r w:rsidR="000D15AC">
        <w:rPr>
          <w:lang w:val="en-GB"/>
        </w:rPr>
        <w:t>IR HARQ is expected on the active processes which are in excess.</w:t>
      </w:r>
    </w:p>
    <w:p w14:paraId="209F5431" w14:textId="5C3579C7" w:rsidR="000D15AC" w:rsidRDefault="000D15AC" w:rsidP="0098481D">
      <w:pPr>
        <w:rPr>
          <w:lang w:val="en-GB"/>
        </w:rPr>
      </w:pPr>
      <w:r>
        <w:rPr>
          <w:lang w:val="en-GB"/>
        </w:rPr>
        <w:lastRenderedPageBreak/>
        <w:t>There are tradeoffs in performance for this “overbooking” approach relative to alternative semi-static partitioning on a maximum number of HARQ processes which may exceed the typical number of HARQ processes. Nevertheless, both approaches can benefit when the maximum number of HARQ processes if configured per UE, and may more accurately reflect the deployment conditions.</w:t>
      </w:r>
    </w:p>
    <w:p w14:paraId="65535F1F" w14:textId="755E7BDE" w:rsidR="000D15AC" w:rsidRDefault="000D15AC" w:rsidP="000D15AC">
      <w:pPr>
        <w:rPr>
          <w:lang w:val="en-GB"/>
        </w:rPr>
      </w:pPr>
      <w:r w:rsidRPr="00006DD7">
        <w:rPr>
          <w:b/>
          <w:u w:val="single"/>
          <w:lang w:val="en-GB"/>
        </w:rPr>
        <w:t xml:space="preserve">Proposal </w:t>
      </w:r>
      <w:r w:rsidR="00006DD7" w:rsidRPr="00006DD7">
        <w:rPr>
          <w:b/>
          <w:u w:val="single"/>
          <w:lang w:val="en-GB"/>
        </w:rPr>
        <w:t>6</w:t>
      </w:r>
      <w:r w:rsidRPr="00006DD7">
        <w:rPr>
          <w:b/>
          <w:u w:val="single"/>
          <w:lang w:val="en-GB"/>
        </w:rPr>
        <w:t>:</w:t>
      </w:r>
      <w:r>
        <w:rPr>
          <w:lang w:val="en-GB"/>
        </w:rPr>
        <w:t xml:space="preserve"> Soft buffer management should support</w:t>
      </w:r>
      <w:r w:rsidR="009F5C89">
        <w:rPr>
          <w:lang w:val="en-GB"/>
        </w:rPr>
        <w:t xml:space="preserve"> semi-statically</w:t>
      </w:r>
      <w:r>
        <w:rPr>
          <w:lang w:val="en-GB"/>
        </w:rPr>
        <w:t xml:space="preserve"> configuring the number of HARQ processes needed for IR HARQ on a UE-specific basis.</w:t>
      </w:r>
    </w:p>
    <w:p w14:paraId="0A8DC015" w14:textId="77777777" w:rsidR="000D15AC" w:rsidRPr="0098481D" w:rsidRDefault="000D15AC" w:rsidP="0098481D">
      <w:pPr>
        <w:rPr>
          <w:lang w:val="en-GB"/>
        </w:rPr>
      </w:pPr>
    </w:p>
    <w:p w14:paraId="5BE0AC90" w14:textId="77777777" w:rsidR="00FC6D8C" w:rsidRDefault="003A38AC" w:rsidP="00AA0D9A">
      <w:pPr>
        <w:pStyle w:val="Heading1"/>
        <w:rPr>
          <w:sz w:val="40"/>
        </w:rPr>
      </w:pPr>
      <w:bookmarkStart w:id="3" w:name="_Ref378529477"/>
      <w:r w:rsidRPr="00E05BD3">
        <w:rPr>
          <w:sz w:val="40"/>
        </w:rPr>
        <w:t>C</w:t>
      </w:r>
      <w:r w:rsidR="001021DD" w:rsidRPr="00E05BD3">
        <w:rPr>
          <w:sz w:val="40"/>
        </w:rPr>
        <w:t>onclusions</w:t>
      </w:r>
    </w:p>
    <w:p w14:paraId="1242E97D" w14:textId="77777777" w:rsidR="00343A48" w:rsidRPr="008A4BD7" w:rsidRDefault="00343A48" w:rsidP="00343A48">
      <w:pPr>
        <w:rPr>
          <w:lang w:val="en-GB"/>
        </w:rPr>
      </w:pPr>
      <w:r w:rsidRPr="0025192D">
        <w:rPr>
          <w:b/>
          <w:u w:val="single"/>
          <w:lang w:val="en-GB"/>
        </w:rPr>
        <w:t>Proposal 1:</w:t>
      </w:r>
      <w:r>
        <w:rPr>
          <w:lang w:val="en-GB"/>
        </w:rPr>
        <w:t xml:space="preserve"> Limited buffer rate matching (LBRM) should be applied per HARQ process such that TBs at the peak spectral efficiency can support HARQ down to an effective code rate of 4/9.</w:t>
      </w:r>
    </w:p>
    <w:p w14:paraId="37819DEC" w14:textId="77777777" w:rsidR="00E75094" w:rsidRDefault="00E75094" w:rsidP="00E75094">
      <w:pPr>
        <w:rPr>
          <w:b/>
          <w:u w:val="single"/>
          <w:lang w:val="en-GB"/>
        </w:rPr>
      </w:pPr>
      <w:r w:rsidRPr="004A6201">
        <w:rPr>
          <w:b/>
          <w:u w:val="single"/>
          <w:lang w:val="en-GB"/>
        </w:rPr>
        <w:t>Proposal 2:</w:t>
      </w:r>
      <w:r>
        <w:rPr>
          <w:lang w:val="en-GB"/>
        </w:rPr>
        <w:t xml:space="preserve"> Define reference number of HARQ processes to be the minimum number that considers fundamental UE and gNB processing delay assuming all slots are DL centric slots. In this case, the reference number of HARQ processes should be defined to be 3 for NR.</w:t>
      </w:r>
    </w:p>
    <w:p w14:paraId="0294350A" w14:textId="77777777" w:rsidR="00E75094" w:rsidRDefault="00E75094" w:rsidP="00E75094">
      <w:pPr>
        <w:rPr>
          <w:rFonts w:eastAsia="Times New Roman"/>
        </w:rPr>
      </w:pPr>
      <w:r w:rsidRPr="00B36CAD">
        <w:rPr>
          <w:b/>
          <w:u w:val="single"/>
          <w:lang w:val="en-GB"/>
        </w:rPr>
        <w:t xml:space="preserve">Proposal </w:t>
      </w:r>
      <w:r>
        <w:rPr>
          <w:b/>
          <w:u w:val="single"/>
          <w:lang w:val="en-GB"/>
        </w:rPr>
        <w:t>3</w:t>
      </w:r>
      <w:r w:rsidRPr="00B36CAD">
        <w:rPr>
          <w:b/>
          <w:u w:val="single"/>
          <w:lang w:val="en-GB"/>
        </w:rPr>
        <w:t>:</w:t>
      </w:r>
      <w:r>
        <w:rPr>
          <w:lang w:val="en-GB"/>
        </w:rPr>
        <w:t xml:space="preserve"> </w:t>
      </w:r>
      <w:r>
        <w:t>The maximum number of HARQ processes in NR specification is 8 across all SCS</w:t>
      </w:r>
      <w:r>
        <w:rPr>
          <w:rFonts w:eastAsia="Times New Roman"/>
        </w:rPr>
        <w:t>, but should also be semi-statically configurable to a lower number for each UE depending on other aspects such as RTT, bandwidth, and throughput configurations.</w:t>
      </w:r>
    </w:p>
    <w:p w14:paraId="075313FA" w14:textId="02AA01F3" w:rsidR="008A5EF7" w:rsidRDefault="00B2649E" w:rsidP="008A5EF7">
      <w:pPr>
        <w:rPr>
          <w:lang w:val="en-GB"/>
        </w:rPr>
      </w:pPr>
      <w:r w:rsidRPr="000814BF">
        <w:rPr>
          <w:b/>
          <w:u w:val="single"/>
        </w:rPr>
        <w:t xml:space="preserve">Proposal </w:t>
      </w:r>
      <w:r>
        <w:rPr>
          <w:b/>
          <w:u w:val="single"/>
        </w:rPr>
        <w:t>4</w:t>
      </w:r>
      <w:r w:rsidRPr="000814BF">
        <w:rPr>
          <w:b/>
          <w:u w:val="single"/>
        </w:rPr>
        <w:t>:</w:t>
      </w:r>
      <w:r>
        <w:t xml:space="preserve"> A </w:t>
      </w:r>
      <w:r w:rsidRPr="003D50C9">
        <w:rPr>
          <w:rFonts w:eastAsia="MS Mincho"/>
          <w:iCs/>
          <w:lang w:eastAsia="ja-JP"/>
        </w:rPr>
        <w:t xml:space="preserve">set of reference parameters </w:t>
      </w:r>
      <w:r>
        <w:rPr>
          <w:rFonts w:eastAsia="MS Mincho"/>
          <w:iCs/>
          <w:lang w:eastAsia="ja-JP"/>
        </w:rPr>
        <w:t>should be</w:t>
      </w:r>
      <w:r w:rsidRPr="003D50C9">
        <w:rPr>
          <w:rFonts w:eastAsia="MS Mincho"/>
          <w:iCs/>
          <w:lang w:eastAsia="ja-JP"/>
        </w:rPr>
        <w:t xml:space="preserve"> </w:t>
      </w:r>
      <w:r>
        <w:rPr>
          <w:rFonts w:eastAsia="MS Mincho"/>
          <w:iCs/>
          <w:lang w:eastAsia="ja-JP"/>
        </w:rPr>
        <w:t xml:space="preserve">considered </w:t>
      </w:r>
      <w:r w:rsidRPr="003D50C9">
        <w:rPr>
          <w:rFonts w:eastAsia="MS Mincho"/>
          <w:iCs/>
          <w:lang w:eastAsia="ja-JP"/>
        </w:rPr>
        <w:t>soft buffer dimensioning</w:t>
      </w:r>
      <w:r>
        <w:rPr>
          <w:rFonts w:eastAsia="MS Mincho"/>
          <w:iCs/>
          <w:lang w:eastAsia="ja-JP"/>
        </w:rPr>
        <w:t xml:space="preserve"> which targets a downlink HARQ RTT of 1.5ms for a data rate of 5Gbps.</w:t>
      </w:r>
    </w:p>
    <w:p w14:paraId="0AB0DF74" w14:textId="77777777" w:rsidR="00C10628" w:rsidRDefault="00C10628" w:rsidP="00C10628">
      <w:pPr>
        <w:rPr>
          <w:lang w:val="en-GB"/>
        </w:rPr>
      </w:pPr>
      <w:r w:rsidRPr="00006DD7">
        <w:rPr>
          <w:b/>
          <w:u w:val="single"/>
          <w:lang w:val="en-GB"/>
        </w:rPr>
        <w:t>Proposal 5:</w:t>
      </w:r>
      <w:r>
        <w:rPr>
          <w:lang w:val="en-GB"/>
        </w:rPr>
        <w:t xml:space="preserve"> Soft buffer management based on semi-static partitioning across HARQ processes should be at least supported in NR.</w:t>
      </w:r>
    </w:p>
    <w:p w14:paraId="659ECC83" w14:textId="0CEE7B00" w:rsidR="0047482E" w:rsidRPr="00B930AA" w:rsidRDefault="00C10628" w:rsidP="00B930AA">
      <w:pPr>
        <w:rPr>
          <w:lang w:val="en-GB"/>
        </w:rPr>
      </w:pPr>
      <w:r w:rsidRPr="00006DD7">
        <w:rPr>
          <w:b/>
          <w:u w:val="single"/>
          <w:lang w:val="en-GB"/>
        </w:rPr>
        <w:t>Proposal 6:</w:t>
      </w:r>
      <w:r>
        <w:rPr>
          <w:lang w:val="en-GB"/>
        </w:rPr>
        <w:t xml:space="preserve"> Soft buffer management should support semi-statically configuring the number of HARQ processes needed for IR HARQ on a UE-specific basis.</w:t>
      </w:r>
    </w:p>
    <w:bookmarkEnd w:id="3"/>
    <w:p w14:paraId="5BE0AC98" w14:textId="77777777" w:rsidR="00E523F3" w:rsidRPr="00E05BD3" w:rsidRDefault="00E523F3" w:rsidP="00BC0E9A">
      <w:pPr>
        <w:pStyle w:val="Heading1"/>
        <w:numPr>
          <w:ilvl w:val="0"/>
          <w:numId w:val="0"/>
        </w:numPr>
        <w:ind w:left="432" w:hanging="432"/>
        <w:rPr>
          <w:sz w:val="40"/>
          <w:lang w:val="en-US"/>
        </w:rPr>
      </w:pPr>
      <w:r w:rsidRPr="00E05BD3">
        <w:rPr>
          <w:sz w:val="40"/>
          <w:lang w:val="en-US"/>
        </w:rPr>
        <w:t>References</w:t>
      </w:r>
    </w:p>
    <w:p w14:paraId="7CE35591" w14:textId="33A87388" w:rsidR="00085557" w:rsidRDefault="00A47781" w:rsidP="00085557">
      <w:pPr>
        <w:numPr>
          <w:ilvl w:val="0"/>
          <w:numId w:val="2"/>
        </w:numPr>
        <w:spacing w:before="100" w:beforeAutospacing="1" w:after="100" w:afterAutospacing="1"/>
      </w:pPr>
      <w:bookmarkStart w:id="4" w:name="_Ref492904502"/>
      <w:bookmarkStart w:id="5" w:name="_Ref458800081"/>
      <w:r>
        <w:t xml:space="preserve">Chairman’s Notes, </w:t>
      </w:r>
      <w:r w:rsidR="00085557">
        <w:t>3GPP TSG RAN WG1 #89</w:t>
      </w:r>
      <w:bookmarkEnd w:id="4"/>
    </w:p>
    <w:p w14:paraId="0D637EF8" w14:textId="51A35446" w:rsidR="00085557" w:rsidRDefault="00085557" w:rsidP="00911CBA">
      <w:pPr>
        <w:numPr>
          <w:ilvl w:val="0"/>
          <w:numId w:val="2"/>
        </w:numPr>
        <w:spacing w:before="100" w:beforeAutospacing="1" w:after="100" w:afterAutospacing="1"/>
      </w:pPr>
      <w:bookmarkStart w:id="6" w:name="_Ref492904488"/>
      <w:r>
        <w:t>Chairman’s Notes</w:t>
      </w:r>
      <w:r w:rsidR="00A47781">
        <w:t xml:space="preserve">, </w:t>
      </w:r>
      <w:r>
        <w:t>3GPP TSG RAN WG1 #90</w:t>
      </w:r>
      <w:bookmarkEnd w:id="6"/>
    </w:p>
    <w:p w14:paraId="2C79108E" w14:textId="4D4A0DFE" w:rsidR="005875A5" w:rsidRDefault="008E6FD2" w:rsidP="005875A5">
      <w:pPr>
        <w:numPr>
          <w:ilvl w:val="0"/>
          <w:numId w:val="2"/>
        </w:numPr>
        <w:spacing w:before="100" w:beforeAutospacing="1" w:after="100" w:afterAutospacing="1"/>
      </w:pPr>
      <w:bookmarkStart w:id="7" w:name="_Ref492910755"/>
      <w:r w:rsidRPr="008E6FD2">
        <w:t>R1-1713462</w:t>
      </w:r>
      <w:r w:rsidRPr="006164DD">
        <w:t>, “</w:t>
      </w:r>
      <w:r>
        <w:t>LDPC rate matching</w:t>
      </w:r>
      <w:r w:rsidRPr="006164DD">
        <w:t>”, Qualcomm Incorporated, RAN1 #</w:t>
      </w:r>
      <w:r>
        <w:t>90, Prague, Czech Republic</w:t>
      </w:r>
      <w:bookmarkEnd w:id="7"/>
    </w:p>
    <w:p w14:paraId="6235079D" w14:textId="3CE2C390" w:rsidR="005875A5" w:rsidRDefault="005875A5" w:rsidP="005875A5">
      <w:pPr>
        <w:numPr>
          <w:ilvl w:val="0"/>
          <w:numId w:val="2"/>
        </w:numPr>
        <w:spacing w:before="100" w:beforeAutospacing="1" w:after="100" w:afterAutospacing="1"/>
      </w:pPr>
      <w:bookmarkStart w:id="8" w:name="_Ref492911014"/>
      <w:r w:rsidRPr="006164DD">
        <w:t>R1-1702637, “Number of HARQ processes”, Qualcomm Incorporated, RAN1 #88, Athens, Greece</w:t>
      </w:r>
    </w:p>
    <w:p w14:paraId="1B4C2709" w14:textId="762AC784" w:rsidR="005875A5" w:rsidRDefault="005875A5" w:rsidP="005875A5">
      <w:pPr>
        <w:numPr>
          <w:ilvl w:val="0"/>
          <w:numId w:val="2"/>
        </w:numPr>
        <w:spacing w:before="100" w:beforeAutospacing="1" w:after="100" w:afterAutospacing="1"/>
      </w:pPr>
      <w:bookmarkStart w:id="9" w:name="_Ref492911084"/>
      <w:r w:rsidRPr="00B21722">
        <w:t>R1-1706625</w:t>
      </w:r>
      <w:r>
        <w:t>, “</w:t>
      </w:r>
      <w:r w:rsidRPr="00B21722">
        <w:t>WF on HARQ process for NR</w:t>
      </w:r>
      <w:r>
        <w:t xml:space="preserve">”, </w:t>
      </w:r>
      <w:r w:rsidRPr="00B21722">
        <w:t>Huawei, HiSilicon, NTT DOCOMO, Ericsson, CATT</w:t>
      </w:r>
      <w:r>
        <w:t>, RAN1 #88bis, Spokane, USA</w:t>
      </w:r>
      <w:bookmarkEnd w:id="8"/>
      <w:bookmarkEnd w:id="9"/>
      <w:r w:rsidDel="00B21722">
        <w:t xml:space="preserve"> </w:t>
      </w:r>
    </w:p>
    <w:p w14:paraId="3C1B5DE1" w14:textId="3BE364AC" w:rsidR="008A3041" w:rsidRPr="006164DD" w:rsidRDefault="00C005E2" w:rsidP="00194A44">
      <w:pPr>
        <w:numPr>
          <w:ilvl w:val="0"/>
          <w:numId w:val="2"/>
        </w:numPr>
        <w:spacing w:before="100" w:beforeAutospacing="1" w:after="100" w:afterAutospacing="1"/>
      </w:pPr>
      <w:bookmarkStart w:id="10" w:name="_Ref492911265"/>
      <w:r>
        <w:t>R1-1711205, “</w:t>
      </w:r>
      <w:r w:rsidRPr="008A3041">
        <w:t>Low latency Impact Analysis on User Plane and Control Plane</w:t>
      </w:r>
      <w:r>
        <w:t>”, Qualcomm Incorporated, RAN1 AdHoc #2, Qingdao, China</w:t>
      </w:r>
      <w:bookmarkEnd w:id="5"/>
      <w:bookmarkEnd w:id="10"/>
    </w:p>
    <w:sectPr w:rsidR="008A3041" w:rsidRPr="006164DD"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5D608" w14:textId="77777777" w:rsidR="003F226B" w:rsidRDefault="003F226B">
      <w:r>
        <w:separator/>
      </w:r>
    </w:p>
  </w:endnote>
  <w:endnote w:type="continuationSeparator" w:id="0">
    <w:p w14:paraId="6C8C549C" w14:textId="77777777" w:rsidR="003F226B" w:rsidRDefault="003F226B">
      <w:r>
        <w:continuationSeparator/>
      </w:r>
    </w:p>
  </w:endnote>
  <w:endnote w:type="continuationNotice" w:id="1">
    <w:p w14:paraId="59AFA6F9" w14:textId="77777777" w:rsidR="003F226B" w:rsidRDefault="003F22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0704B2" w:rsidRDefault="000704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704B2" w:rsidRDefault="000704B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6375F1FE" w:rsidR="000704B2" w:rsidRDefault="000704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2230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230D">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F4512" w14:textId="77777777" w:rsidR="003F226B" w:rsidRDefault="003F226B">
      <w:r>
        <w:separator/>
      </w:r>
    </w:p>
  </w:footnote>
  <w:footnote w:type="continuationSeparator" w:id="0">
    <w:p w14:paraId="0AB2E98C" w14:textId="77777777" w:rsidR="003F226B" w:rsidRDefault="003F226B">
      <w:r>
        <w:continuationSeparator/>
      </w:r>
    </w:p>
  </w:footnote>
  <w:footnote w:type="continuationNotice" w:id="1">
    <w:p w14:paraId="4B14EB7D" w14:textId="77777777" w:rsidR="003F226B" w:rsidRDefault="003F22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0704B2" w:rsidRDefault="000704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3E3AD6"/>
    <w:multiLevelType w:val="hybridMultilevel"/>
    <w:tmpl w:val="EAFC4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31D81"/>
    <w:multiLevelType w:val="hybridMultilevel"/>
    <w:tmpl w:val="06FC4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ED74850"/>
    <w:multiLevelType w:val="hybridMultilevel"/>
    <w:tmpl w:val="0F0EE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4C0D25"/>
    <w:multiLevelType w:val="hybridMultilevel"/>
    <w:tmpl w:val="CBEE1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97949D4"/>
    <w:multiLevelType w:val="hybridMultilevel"/>
    <w:tmpl w:val="0D9C5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7E7804"/>
    <w:multiLevelType w:val="hybridMultilevel"/>
    <w:tmpl w:val="00D06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8329C3"/>
    <w:multiLevelType w:val="hybridMultilevel"/>
    <w:tmpl w:val="EAFC4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BE6DD1"/>
    <w:multiLevelType w:val="hybridMultilevel"/>
    <w:tmpl w:val="89389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7"/>
  </w:num>
  <w:num w:numId="5">
    <w:abstractNumId w:val="9"/>
  </w:num>
  <w:num w:numId="6">
    <w:abstractNumId w:val="1"/>
  </w:num>
  <w:num w:numId="7">
    <w:abstractNumId w:val="8"/>
  </w:num>
  <w:num w:numId="8">
    <w:abstractNumId w:val="2"/>
  </w:num>
  <w:num w:numId="9">
    <w:abstractNumId w:val="5"/>
  </w:num>
  <w:num w:numId="10">
    <w:abstractNumId w:val="11"/>
  </w:num>
  <w:num w:numId="11">
    <w:abstractNumId w:val="4"/>
  </w:num>
  <w:num w:numId="1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020"/>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5FE6"/>
    <w:rsid w:val="000062D2"/>
    <w:rsid w:val="000063BC"/>
    <w:rsid w:val="00006780"/>
    <w:rsid w:val="00006C7A"/>
    <w:rsid w:val="00006DD7"/>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336"/>
    <w:rsid w:val="000255A1"/>
    <w:rsid w:val="000258DD"/>
    <w:rsid w:val="0002591B"/>
    <w:rsid w:val="000259DD"/>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5"/>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3A56"/>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AC"/>
    <w:rsid w:val="00067FE2"/>
    <w:rsid w:val="00070192"/>
    <w:rsid w:val="000704B2"/>
    <w:rsid w:val="0007118F"/>
    <w:rsid w:val="000711C1"/>
    <w:rsid w:val="0007162A"/>
    <w:rsid w:val="000716FB"/>
    <w:rsid w:val="00071740"/>
    <w:rsid w:val="000721EC"/>
    <w:rsid w:val="00072E75"/>
    <w:rsid w:val="00072EFA"/>
    <w:rsid w:val="00072FF7"/>
    <w:rsid w:val="0007337F"/>
    <w:rsid w:val="0007368E"/>
    <w:rsid w:val="00073785"/>
    <w:rsid w:val="00073974"/>
    <w:rsid w:val="00073DE3"/>
    <w:rsid w:val="00073E1A"/>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8A3"/>
    <w:rsid w:val="00080D74"/>
    <w:rsid w:val="00081383"/>
    <w:rsid w:val="000814BF"/>
    <w:rsid w:val="00081B61"/>
    <w:rsid w:val="000826FF"/>
    <w:rsid w:val="00082A49"/>
    <w:rsid w:val="00082C90"/>
    <w:rsid w:val="000832D0"/>
    <w:rsid w:val="00083322"/>
    <w:rsid w:val="000838E5"/>
    <w:rsid w:val="0008399B"/>
    <w:rsid w:val="00083ABE"/>
    <w:rsid w:val="00084255"/>
    <w:rsid w:val="0008473D"/>
    <w:rsid w:val="00085239"/>
    <w:rsid w:val="00085557"/>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D6"/>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865"/>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48D"/>
    <w:rsid w:val="000D14EB"/>
    <w:rsid w:val="000D15AC"/>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82C"/>
    <w:rsid w:val="000F095B"/>
    <w:rsid w:val="000F13C4"/>
    <w:rsid w:val="000F13D7"/>
    <w:rsid w:val="000F17E4"/>
    <w:rsid w:val="000F1878"/>
    <w:rsid w:val="000F1A47"/>
    <w:rsid w:val="000F1CF3"/>
    <w:rsid w:val="000F1F98"/>
    <w:rsid w:val="000F20CD"/>
    <w:rsid w:val="000F2965"/>
    <w:rsid w:val="000F34C7"/>
    <w:rsid w:val="000F3A1B"/>
    <w:rsid w:val="000F3B40"/>
    <w:rsid w:val="000F3F2F"/>
    <w:rsid w:val="000F42EA"/>
    <w:rsid w:val="000F47DF"/>
    <w:rsid w:val="000F4CAF"/>
    <w:rsid w:val="000F4D2F"/>
    <w:rsid w:val="000F4E96"/>
    <w:rsid w:val="000F4F44"/>
    <w:rsid w:val="000F4FA3"/>
    <w:rsid w:val="000F53CB"/>
    <w:rsid w:val="000F6799"/>
    <w:rsid w:val="000F6881"/>
    <w:rsid w:val="000F6C32"/>
    <w:rsid w:val="000F6D86"/>
    <w:rsid w:val="000F7CAD"/>
    <w:rsid w:val="000F7E90"/>
    <w:rsid w:val="000F7F8C"/>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5EF8"/>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9D6"/>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65C"/>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3DE"/>
    <w:rsid w:val="00135517"/>
    <w:rsid w:val="00135829"/>
    <w:rsid w:val="00135884"/>
    <w:rsid w:val="001358A7"/>
    <w:rsid w:val="001358F4"/>
    <w:rsid w:val="00135A83"/>
    <w:rsid w:val="0013612A"/>
    <w:rsid w:val="00136998"/>
    <w:rsid w:val="00136AAD"/>
    <w:rsid w:val="00137280"/>
    <w:rsid w:val="00137288"/>
    <w:rsid w:val="00137480"/>
    <w:rsid w:val="001375B9"/>
    <w:rsid w:val="001376F7"/>
    <w:rsid w:val="00137EA0"/>
    <w:rsid w:val="001404A8"/>
    <w:rsid w:val="00140608"/>
    <w:rsid w:val="0014073C"/>
    <w:rsid w:val="00140762"/>
    <w:rsid w:val="00140825"/>
    <w:rsid w:val="0014086C"/>
    <w:rsid w:val="00140E5E"/>
    <w:rsid w:val="001410AA"/>
    <w:rsid w:val="001410F1"/>
    <w:rsid w:val="00141853"/>
    <w:rsid w:val="001418FE"/>
    <w:rsid w:val="00141E46"/>
    <w:rsid w:val="00141ED1"/>
    <w:rsid w:val="00141F72"/>
    <w:rsid w:val="00141FD3"/>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901"/>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6FD9"/>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760"/>
    <w:rsid w:val="00193987"/>
    <w:rsid w:val="0019443E"/>
    <w:rsid w:val="00194955"/>
    <w:rsid w:val="00194A44"/>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5C29"/>
    <w:rsid w:val="001A6164"/>
    <w:rsid w:val="001A61A0"/>
    <w:rsid w:val="001A64B2"/>
    <w:rsid w:val="001A6AFE"/>
    <w:rsid w:val="001A6E27"/>
    <w:rsid w:val="001A706D"/>
    <w:rsid w:val="001A71EB"/>
    <w:rsid w:val="001A72EE"/>
    <w:rsid w:val="001A7826"/>
    <w:rsid w:val="001A79DA"/>
    <w:rsid w:val="001B00B2"/>
    <w:rsid w:val="001B0149"/>
    <w:rsid w:val="001B0251"/>
    <w:rsid w:val="001B02C0"/>
    <w:rsid w:val="001B0BF8"/>
    <w:rsid w:val="001B113B"/>
    <w:rsid w:val="001B1565"/>
    <w:rsid w:val="001B158B"/>
    <w:rsid w:val="001B2993"/>
    <w:rsid w:val="001B2C18"/>
    <w:rsid w:val="001B35C1"/>
    <w:rsid w:val="001B3754"/>
    <w:rsid w:val="001B3A10"/>
    <w:rsid w:val="001B3F9C"/>
    <w:rsid w:val="001B41E4"/>
    <w:rsid w:val="001B4371"/>
    <w:rsid w:val="001B5332"/>
    <w:rsid w:val="001B54E9"/>
    <w:rsid w:val="001B55DE"/>
    <w:rsid w:val="001B70CF"/>
    <w:rsid w:val="001B748B"/>
    <w:rsid w:val="001B7905"/>
    <w:rsid w:val="001C0085"/>
    <w:rsid w:val="001C00CD"/>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5C"/>
    <w:rsid w:val="001C5DBB"/>
    <w:rsid w:val="001C5F88"/>
    <w:rsid w:val="001C6182"/>
    <w:rsid w:val="001C619C"/>
    <w:rsid w:val="001C66D2"/>
    <w:rsid w:val="001C7384"/>
    <w:rsid w:val="001C7F47"/>
    <w:rsid w:val="001D006C"/>
    <w:rsid w:val="001D056C"/>
    <w:rsid w:val="001D0578"/>
    <w:rsid w:val="001D0593"/>
    <w:rsid w:val="001D0AE6"/>
    <w:rsid w:val="001D1258"/>
    <w:rsid w:val="001D19F8"/>
    <w:rsid w:val="001D1CFF"/>
    <w:rsid w:val="001D216E"/>
    <w:rsid w:val="001D29A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BCF"/>
    <w:rsid w:val="001E3FE1"/>
    <w:rsid w:val="001E420B"/>
    <w:rsid w:val="001E4704"/>
    <w:rsid w:val="001E5994"/>
    <w:rsid w:val="001E5BB2"/>
    <w:rsid w:val="001E5D1F"/>
    <w:rsid w:val="001E6313"/>
    <w:rsid w:val="001E678C"/>
    <w:rsid w:val="001E6BDA"/>
    <w:rsid w:val="001E6C1B"/>
    <w:rsid w:val="001E7173"/>
    <w:rsid w:val="001E719A"/>
    <w:rsid w:val="001E750C"/>
    <w:rsid w:val="001E7A8F"/>
    <w:rsid w:val="001E7D26"/>
    <w:rsid w:val="001F020C"/>
    <w:rsid w:val="001F0546"/>
    <w:rsid w:val="001F0DDF"/>
    <w:rsid w:val="001F11F0"/>
    <w:rsid w:val="001F15C2"/>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16"/>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B17"/>
    <w:rsid w:val="00216B2D"/>
    <w:rsid w:val="00216BBF"/>
    <w:rsid w:val="00216C53"/>
    <w:rsid w:val="00216D0D"/>
    <w:rsid w:val="00217135"/>
    <w:rsid w:val="00217381"/>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31"/>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92D"/>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AED"/>
    <w:rsid w:val="00261D05"/>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6DBC"/>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3FFA"/>
    <w:rsid w:val="00284293"/>
    <w:rsid w:val="00284E7F"/>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D2B"/>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D31"/>
    <w:rsid w:val="002B70A2"/>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424"/>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036"/>
    <w:rsid w:val="002E5338"/>
    <w:rsid w:val="002E579F"/>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1F5E"/>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28"/>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BDA"/>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5CA"/>
    <w:rsid w:val="00313765"/>
    <w:rsid w:val="003137A0"/>
    <w:rsid w:val="00313BC1"/>
    <w:rsid w:val="00313C4F"/>
    <w:rsid w:val="003141C2"/>
    <w:rsid w:val="00314ACB"/>
    <w:rsid w:val="00314C05"/>
    <w:rsid w:val="00314CBB"/>
    <w:rsid w:val="00314DC9"/>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61D"/>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68E"/>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A48"/>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427"/>
    <w:rsid w:val="00352759"/>
    <w:rsid w:val="00352828"/>
    <w:rsid w:val="00352952"/>
    <w:rsid w:val="00352DAE"/>
    <w:rsid w:val="003530A0"/>
    <w:rsid w:val="003531B0"/>
    <w:rsid w:val="003532D2"/>
    <w:rsid w:val="003536C6"/>
    <w:rsid w:val="0035391B"/>
    <w:rsid w:val="003539B2"/>
    <w:rsid w:val="003540D0"/>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6739B"/>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843"/>
    <w:rsid w:val="00376E0C"/>
    <w:rsid w:val="0037709A"/>
    <w:rsid w:val="00377146"/>
    <w:rsid w:val="003771CA"/>
    <w:rsid w:val="00377397"/>
    <w:rsid w:val="00377463"/>
    <w:rsid w:val="0037757C"/>
    <w:rsid w:val="003775BD"/>
    <w:rsid w:val="00377F06"/>
    <w:rsid w:val="00380543"/>
    <w:rsid w:val="00380602"/>
    <w:rsid w:val="00380892"/>
    <w:rsid w:val="00380BBD"/>
    <w:rsid w:val="00381B03"/>
    <w:rsid w:val="00381B66"/>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2D1"/>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0B50"/>
    <w:rsid w:val="003B111E"/>
    <w:rsid w:val="003B1D71"/>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3C5"/>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0C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26B"/>
    <w:rsid w:val="003F23A7"/>
    <w:rsid w:val="003F2564"/>
    <w:rsid w:val="003F2624"/>
    <w:rsid w:val="003F2711"/>
    <w:rsid w:val="003F27E1"/>
    <w:rsid w:val="003F298C"/>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6F5"/>
    <w:rsid w:val="00400D86"/>
    <w:rsid w:val="00400DEA"/>
    <w:rsid w:val="004010EF"/>
    <w:rsid w:val="004017C6"/>
    <w:rsid w:val="004021B5"/>
    <w:rsid w:val="004024AB"/>
    <w:rsid w:val="00402619"/>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5FE5"/>
    <w:rsid w:val="0040609D"/>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5BFE"/>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6B5"/>
    <w:rsid w:val="0043270B"/>
    <w:rsid w:val="00432780"/>
    <w:rsid w:val="00432D4E"/>
    <w:rsid w:val="00432F8F"/>
    <w:rsid w:val="00432F9E"/>
    <w:rsid w:val="00433106"/>
    <w:rsid w:val="0043359F"/>
    <w:rsid w:val="004336D8"/>
    <w:rsid w:val="00433AF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1B3"/>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78FA"/>
    <w:rsid w:val="0045039C"/>
    <w:rsid w:val="00450778"/>
    <w:rsid w:val="00450D3B"/>
    <w:rsid w:val="00450D77"/>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87"/>
    <w:rsid w:val="004636FA"/>
    <w:rsid w:val="00463DEC"/>
    <w:rsid w:val="0046400B"/>
    <w:rsid w:val="004641A0"/>
    <w:rsid w:val="0046434B"/>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482E"/>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3A1"/>
    <w:rsid w:val="00481607"/>
    <w:rsid w:val="00481611"/>
    <w:rsid w:val="004818FF"/>
    <w:rsid w:val="00481BE0"/>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8F4"/>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577"/>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201"/>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441"/>
    <w:rsid w:val="004D39CA"/>
    <w:rsid w:val="004D40D5"/>
    <w:rsid w:val="004D4968"/>
    <w:rsid w:val="004D4A8A"/>
    <w:rsid w:val="004D4ABF"/>
    <w:rsid w:val="004D50CC"/>
    <w:rsid w:val="004D58D1"/>
    <w:rsid w:val="004D5F02"/>
    <w:rsid w:val="004D602D"/>
    <w:rsid w:val="004D65BA"/>
    <w:rsid w:val="004D68C0"/>
    <w:rsid w:val="004D6FDF"/>
    <w:rsid w:val="004D70E1"/>
    <w:rsid w:val="004D710C"/>
    <w:rsid w:val="004E0033"/>
    <w:rsid w:val="004E00F1"/>
    <w:rsid w:val="004E03BE"/>
    <w:rsid w:val="004E071E"/>
    <w:rsid w:val="004E0CD0"/>
    <w:rsid w:val="004E1260"/>
    <w:rsid w:val="004E1CBB"/>
    <w:rsid w:val="004E1D07"/>
    <w:rsid w:val="004E209D"/>
    <w:rsid w:val="004E21D3"/>
    <w:rsid w:val="004E241B"/>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0B6"/>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14E"/>
    <w:rsid w:val="00513B8C"/>
    <w:rsid w:val="00513F8F"/>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79"/>
    <w:rsid w:val="005328D8"/>
    <w:rsid w:val="00532B16"/>
    <w:rsid w:val="00532C9D"/>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0FFF"/>
    <w:rsid w:val="005417A0"/>
    <w:rsid w:val="0054183A"/>
    <w:rsid w:val="005418B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571"/>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5A"/>
    <w:rsid w:val="0056306A"/>
    <w:rsid w:val="005632EC"/>
    <w:rsid w:val="00563958"/>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6A9"/>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6E61"/>
    <w:rsid w:val="00587117"/>
    <w:rsid w:val="0058759B"/>
    <w:rsid w:val="005875A5"/>
    <w:rsid w:val="0058764D"/>
    <w:rsid w:val="00590060"/>
    <w:rsid w:val="005909AD"/>
    <w:rsid w:val="00590BF6"/>
    <w:rsid w:val="00590CDA"/>
    <w:rsid w:val="00591087"/>
    <w:rsid w:val="00591B9C"/>
    <w:rsid w:val="00591E8B"/>
    <w:rsid w:val="00592160"/>
    <w:rsid w:val="00592224"/>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59D"/>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96D"/>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31"/>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2B43"/>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766"/>
    <w:rsid w:val="00610B78"/>
    <w:rsid w:val="006112E3"/>
    <w:rsid w:val="006113A9"/>
    <w:rsid w:val="00611C82"/>
    <w:rsid w:val="006125DB"/>
    <w:rsid w:val="0061267C"/>
    <w:rsid w:val="00612C73"/>
    <w:rsid w:val="00612E96"/>
    <w:rsid w:val="006133A2"/>
    <w:rsid w:val="006134CE"/>
    <w:rsid w:val="006138D8"/>
    <w:rsid w:val="00613A55"/>
    <w:rsid w:val="00613E6B"/>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051F"/>
    <w:rsid w:val="00630C56"/>
    <w:rsid w:val="00631007"/>
    <w:rsid w:val="00631826"/>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047"/>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7C2"/>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2B7B"/>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2D"/>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1"/>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567"/>
    <w:rsid w:val="007056ED"/>
    <w:rsid w:val="00705902"/>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763"/>
    <w:rsid w:val="00715F49"/>
    <w:rsid w:val="00716324"/>
    <w:rsid w:val="007163BF"/>
    <w:rsid w:val="0071649C"/>
    <w:rsid w:val="007167C9"/>
    <w:rsid w:val="00716B63"/>
    <w:rsid w:val="00716FC0"/>
    <w:rsid w:val="00717267"/>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30D"/>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75D"/>
    <w:rsid w:val="007279F1"/>
    <w:rsid w:val="00727E9F"/>
    <w:rsid w:val="00730837"/>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B9A"/>
    <w:rsid w:val="00737DE0"/>
    <w:rsid w:val="00737E53"/>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BDB"/>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17"/>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1A"/>
    <w:rsid w:val="00803FD6"/>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2E14"/>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210"/>
    <w:rsid w:val="00830DD4"/>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69"/>
    <w:rsid w:val="0085057C"/>
    <w:rsid w:val="0085073E"/>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EC2"/>
    <w:rsid w:val="00862F15"/>
    <w:rsid w:val="00863096"/>
    <w:rsid w:val="0086326D"/>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646"/>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1FF"/>
    <w:rsid w:val="008948A0"/>
    <w:rsid w:val="00894A2E"/>
    <w:rsid w:val="00894ADC"/>
    <w:rsid w:val="00895243"/>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041"/>
    <w:rsid w:val="008A36ED"/>
    <w:rsid w:val="008A3898"/>
    <w:rsid w:val="008A42D8"/>
    <w:rsid w:val="008A457F"/>
    <w:rsid w:val="008A4BD7"/>
    <w:rsid w:val="008A4DAC"/>
    <w:rsid w:val="008A4E04"/>
    <w:rsid w:val="008A53C3"/>
    <w:rsid w:val="008A59E9"/>
    <w:rsid w:val="008A5EF7"/>
    <w:rsid w:val="008A5F6D"/>
    <w:rsid w:val="008A62D3"/>
    <w:rsid w:val="008A631F"/>
    <w:rsid w:val="008A6394"/>
    <w:rsid w:val="008A668F"/>
    <w:rsid w:val="008A6CA7"/>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18D0"/>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468"/>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4E5"/>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0FEE"/>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6FD2"/>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99"/>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620"/>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ADF"/>
    <w:rsid w:val="009441AC"/>
    <w:rsid w:val="00944202"/>
    <w:rsid w:val="00944335"/>
    <w:rsid w:val="00944371"/>
    <w:rsid w:val="0094484A"/>
    <w:rsid w:val="00944AF4"/>
    <w:rsid w:val="00944E81"/>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946"/>
    <w:rsid w:val="00970DB3"/>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1E6"/>
    <w:rsid w:val="009765CF"/>
    <w:rsid w:val="00976989"/>
    <w:rsid w:val="00976D1B"/>
    <w:rsid w:val="00976FFB"/>
    <w:rsid w:val="00977852"/>
    <w:rsid w:val="009778AB"/>
    <w:rsid w:val="00977C72"/>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D"/>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7A"/>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097"/>
    <w:rsid w:val="009A6127"/>
    <w:rsid w:val="009A62DC"/>
    <w:rsid w:val="009A637B"/>
    <w:rsid w:val="009A6456"/>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AB2"/>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A00"/>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530"/>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4C"/>
    <w:rsid w:val="009D75A4"/>
    <w:rsid w:val="009D774D"/>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89"/>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11"/>
    <w:rsid w:val="00A1789B"/>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62CB"/>
    <w:rsid w:val="00A370B5"/>
    <w:rsid w:val="00A37353"/>
    <w:rsid w:val="00A37413"/>
    <w:rsid w:val="00A3747D"/>
    <w:rsid w:val="00A37A59"/>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D8A"/>
    <w:rsid w:val="00A46FAD"/>
    <w:rsid w:val="00A47781"/>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C37"/>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70A35"/>
    <w:rsid w:val="00A70C9C"/>
    <w:rsid w:val="00A71209"/>
    <w:rsid w:val="00A7141F"/>
    <w:rsid w:val="00A71631"/>
    <w:rsid w:val="00A71D6B"/>
    <w:rsid w:val="00A71F00"/>
    <w:rsid w:val="00A72376"/>
    <w:rsid w:val="00A726A3"/>
    <w:rsid w:val="00A726DE"/>
    <w:rsid w:val="00A72FFD"/>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E57"/>
    <w:rsid w:val="00A806D6"/>
    <w:rsid w:val="00A811FE"/>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C20"/>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11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8BE"/>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3F4"/>
    <w:rsid w:val="00AC6786"/>
    <w:rsid w:val="00AC7470"/>
    <w:rsid w:val="00AC7DE9"/>
    <w:rsid w:val="00AD07FD"/>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646"/>
    <w:rsid w:val="00AE47A1"/>
    <w:rsid w:val="00AE4A1F"/>
    <w:rsid w:val="00AE4C55"/>
    <w:rsid w:val="00AE4F01"/>
    <w:rsid w:val="00AE53FA"/>
    <w:rsid w:val="00AE5C22"/>
    <w:rsid w:val="00AE5E95"/>
    <w:rsid w:val="00AE6433"/>
    <w:rsid w:val="00AE6584"/>
    <w:rsid w:val="00AE69BD"/>
    <w:rsid w:val="00AE6D12"/>
    <w:rsid w:val="00AE723D"/>
    <w:rsid w:val="00AE757E"/>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8D5"/>
    <w:rsid w:val="00B17D3E"/>
    <w:rsid w:val="00B20057"/>
    <w:rsid w:val="00B2043A"/>
    <w:rsid w:val="00B20CD7"/>
    <w:rsid w:val="00B20E2B"/>
    <w:rsid w:val="00B20F3D"/>
    <w:rsid w:val="00B21016"/>
    <w:rsid w:val="00B215F9"/>
    <w:rsid w:val="00B21722"/>
    <w:rsid w:val="00B217CD"/>
    <w:rsid w:val="00B21B67"/>
    <w:rsid w:val="00B21CA7"/>
    <w:rsid w:val="00B22472"/>
    <w:rsid w:val="00B232CB"/>
    <w:rsid w:val="00B233A9"/>
    <w:rsid w:val="00B239CC"/>
    <w:rsid w:val="00B23C57"/>
    <w:rsid w:val="00B23D46"/>
    <w:rsid w:val="00B23E2E"/>
    <w:rsid w:val="00B24F49"/>
    <w:rsid w:val="00B25585"/>
    <w:rsid w:val="00B2571D"/>
    <w:rsid w:val="00B25A0E"/>
    <w:rsid w:val="00B25A70"/>
    <w:rsid w:val="00B25BD8"/>
    <w:rsid w:val="00B25E1D"/>
    <w:rsid w:val="00B25F9A"/>
    <w:rsid w:val="00B26085"/>
    <w:rsid w:val="00B2613A"/>
    <w:rsid w:val="00B263BE"/>
    <w:rsid w:val="00B2649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6CAD"/>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246"/>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1A0"/>
    <w:rsid w:val="00B5370C"/>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A51"/>
    <w:rsid w:val="00B77B57"/>
    <w:rsid w:val="00B77D8A"/>
    <w:rsid w:val="00B8053A"/>
    <w:rsid w:val="00B80795"/>
    <w:rsid w:val="00B80F5B"/>
    <w:rsid w:val="00B81578"/>
    <w:rsid w:val="00B81587"/>
    <w:rsid w:val="00B81684"/>
    <w:rsid w:val="00B817F4"/>
    <w:rsid w:val="00B820AE"/>
    <w:rsid w:val="00B821AB"/>
    <w:rsid w:val="00B82A8C"/>
    <w:rsid w:val="00B830F7"/>
    <w:rsid w:val="00B8321E"/>
    <w:rsid w:val="00B83407"/>
    <w:rsid w:val="00B83420"/>
    <w:rsid w:val="00B837F5"/>
    <w:rsid w:val="00B83AC3"/>
    <w:rsid w:val="00B83AEB"/>
    <w:rsid w:val="00B83DAC"/>
    <w:rsid w:val="00B83DF6"/>
    <w:rsid w:val="00B843E9"/>
    <w:rsid w:val="00B84BE8"/>
    <w:rsid w:val="00B84DC5"/>
    <w:rsid w:val="00B855A8"/>
    <w:rsid w:val="00B85837"/>
    <w:rsid w:val="00B85840"/>
    <w:rsid w:val="00B85F67"/>
    <w:rsid w:val="00B86557"/>
    <w:rsid w:val="00B86A09"/>
    <w:rsid w:val="00B86C54"/>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597"/>
    <w:rsid w:val="00BA17C4"/>
    <w:rsid w:val="00BA1E41"/>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AE0"/>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3E63"/>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E99"/>
    <w:rsid w:val="00BE3AFA"/>
    <w:rsid w:val="00BE3F52"/>
    <w:rsid w:val="00BE403F"/>
    <w:rsid w:val="00BE45C1"/>
    <w:rsid w:val="00BE51C7"/>
    <w:rsid w:val="00BE51F4"/>
    <w:rsid w:val="00BE5515"/>
    <w:rsid w:val="00BE5613"/>
    <w:rsid w:val="00BE5813"/>
    <w:rsid w:val="00BE5C7E"/>
    <w:rsid w:val="00BE65B3"/>
    <w:rsid w:val="00BE68B9"/>
    <w:rsid w:val="00BE7265"/>
    <w:rsid w:val="00BE7B27"/>
    <w:rsid w:val="00BE7EBC"/>
    <w:rsid w:val="00BF02E6"/>
    <w:rsid w:val="00BF0647"/>
    <w:rsid w:val="00BF0A66"/>
    <w:rsid w:val="00BF0C43"/>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AE6"/>
    <w:rsid w:val="00BF3C10"/>
    <w:rsid w:val="00BF4231"/>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5E2"/>
    <w:rsid w:val="00C007CA"/>
    <w:rsid w:val="00C00E52"/>
    <w:rsid w:val="00C00F1A"/>
    <w:rsid w:val="00C010F5"/>
    <w:rsid w:val="00C01835"/>
    <w:rsid w:val="00C01DFD"/>
    <w:rsid w:val="00C02192"/>
    <w:rsid w:val="00C0279C"/>
    <w:rsid w:val="00C02C95"/>
    <w:rsid w:val="00C02CDE"/>
    <w:rsid w:val="00C03B7B"/>
    <w:rsid w:val="00C03C30"/>
    <w:rsid w:val="00C04339"/>
    <w:rsid w:val="00C0460F"/>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628"/>
    <w:rsid w:val="00C10F46"/>
    <w:rsid w:val="00C1114F"/>
    <w:rsid w:val="00C11183"/>
    <w:rsid w:val="00C11197"/>
    <w:rsid w:val="00C1157C"/>
    <w:rsid w:val="00C11C33"/>
    <w:rsid w:val="00C11C73"/>
    <w:rsid w:val="00C11FE5"/>
    <w:rsid w:val="00C11FF6"/>
    <w:rsid w:val="00C12068"/>
    <w:rsid w:val="00C129E5"/>
    <w:rsid w:val="00C12CD3"/>
    <w:rsid w:val="00C12EB5"/>
    <w:rsid w:val="00C1328A"/>
    <w:rsid w:val="00C13504"/>
    <w:rsid w:val="00C13C8A"/>
    <w:rsid w:val="00C13F22"/>
    <w:rsid w:val="00C140FE"/>
    <w:rsid w:val="00C14346"/>
    <w:rsid w:val="00C14691"/>
    <w:rsid w:val="00C14EF8"/>
    <w:rsid w:val="00C15135"/>
    <w:rsid w:val="00C159ED"/>
    <w:rsid w:val="00C16095"/>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07B"/>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2B87"/>
    <w:rsid w:val="00C531B4"/>
    <w:rsid w:val="00C532F9"/>
    <w:rsid w:val="00C53E22"/>
    <w:rsid w:val="00C54075"/>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57D6C"/>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4CEB"/>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6B7"/>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B11"/>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6771"/>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6BDB"/>
    <w:rsid w:val="00CC728B"/>
    <w:rsid w:val="00CC7356"/>
    <w:rsid w:val="00CC74D5"/>
    <w:rsid w:val="00CC7A6D"/>
    <w:rsid w:val="00CC7DF5"/>
    <w:rsid w:val="00CD04B6"/>
    <w:rsid w:val="00CD0740"/>
    <w:rsid w:val="00CD0768"/>
    <w:rsid w:val="00CD0B87"/>
    <w:rsid w:val="00CD14CB"/>
    <w:rsid w:val="00CD1634"/>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D3A"/>
    <w:rsid w:val="00CF18AB"/>
    <w:rsid w:val="00CF1AA6"/>
    <w:rsid w:val="00CF1C27"/>
    <w:rsid w:val="00CF20C8"/>
    <w:rsid w:val="00CF2639"/>
    <w:rsid w:val="00CF2EF5"/>
    <w:rsid w:val="00CF2FBF"/>
    <w:rsid w:val="00CF33BA"/>
    <w:rsid w:val="00CF3E2B"/>
    <w:rsid w:val="00CF3F01"/>
    <w:rsid w:val="00CF4050"/>
    <w:rsid w:val="00CF4139"/>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903"/>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EDB"/>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07"/>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022"/>
    <w:rsid w:val="00D22148"/>
    <w:rsid w:val="00D229A3"/>
    <w:rsid w:val="00D22D40"/>
    <w:rsid w:val="00D2348D"/>
    <w:rsid w:val="00D23556"/>
    <w:rsid w:val="00D239F9"/>
    <w:rsid w:val="00D23A1F"/>
    <w:rsid w:val="00D23B89"/>
    <w:rsid w:val="00D23CE2"/>
    <w:rsid w:val="00D244D5"/>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AF8"/>
    <w:rsid w:val="00D27F01"/>
    <w:rsid w:val="00D30373"/>
    <w:rsid w:val="00D309B2"/>
    <w:rsid w:val="00D309D3"/>
    <w:rsid w:val="00D30C4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5EA2"/>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A40"/>
    <w:rsid w:val="00D42B71"/>
    <w:rsid w:val="00D42D5D"/>
    <w:rsid w:val="00D43888"/>
    <w:rsid w:val="00D4429F"/>
    <w:rsid w:val="00D44A5C"/>
    <w:rsid w:val="00D454BF"/>
    <w:rsid w:val="00D45AF0"/>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5A7"/>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77E07"/>
    <w:rsid w:val="00D800A1"/>
    <w:rsid w:val="00D80184"/>
    <w:rsid w:val="00D8036A"/>
    <w:rsid w:val="00D80451"/>
    <w:rsid w:val="00D80AB8"/>
    <w:rsid w:val="00D80C93"/>
    <w:rsid w:val="00D80CCB"/>
    <w:rsid w:val="00D81307"/>
    <w:rsid w:val="00D81465"/>
    <w:rsid w:val="00D817FD"/>
    <w:rsid w:val="00D820F3"/>
    <w:rsid w:val="00D821E7"/>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71"/>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3DC8"/>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01"/>
    <w:rsid w:val="00E0345F"/>
    <w:rsid w:val="00E03BEA"/>
    <w:rsid w:val="00E03C5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B43"/>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E50"/>
    <w:rsid w:val="00E43F1E"/>
    <w:rsid w:val="00E4409C"/>
    <w:rsid w:val="00E443F9"/>
    <w:rsid w:val="00E4466A"/>
    <w:rsid w:val="00E447D5"/>
    <w:rsid w:val="00E45041"/>
    <w:rsid w:val="00E450D8"/>
    <w:rsid w:val="00E4515C"/>
    <w:rsid w:val="00E452D0"/>
    <w:rsid w:val="00E45A9D"/>
    <w:rsid w:val="00E460A1"/>
    <w:rsid w:val="00E4663F"/>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2C2"/>
    <w:rsid w:val="00E544D7"/>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115"/>
    <w:rsid w:val="00E6264C"/>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094"/>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A20"/>
    <w:rsid w:val="00EA6E29"/>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88"/>
    <w:rsid w:val="00EB7E97"/>
    <w:rsid w:val="00EB7FE8"/>
    <w:rsid w:val="00EC05B8"/>
    <w:rsid w:val="00EC06DE"/>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B21"/>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3DE"/>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BB1"/>
    <w:rsid w:val="00F17026"/>
    <w:rsid w:val="00F1713D"/>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074"/>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5F0"/>
    <w:rsid w:val="00F27B2C"/>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A6D"/>
    <w:rsid w:val="00F42C2B"/>
    <w:rsid w:val="00F43127"/>
    <w:rsid w:val="00F44833"/>
    <w:rsid w:val="00F44B24"/>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04"/>
    <w:rsid w:val="00F5676C"/>
    <w:rsid w:val="00F56D31"/>
    <w:rsid w:val="00F57183"/>
    <w:rsid w:val="00F5765A"/>
    <w:rsid w:val="00F57C72"/>
    <w:rsid w:val="00F57E51"/>
    <w:rsid w:val="00F6021A"/>
    <w:rsid w:val="00F6021F"/>
    <w:rsid w:val="00F6037D"/>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1B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EB6"/>
    <w:rsid w:val="00F90F6C"/>
    <w:rsid w:val="00F90FD6"/>
    <w:rsid w:val="00F910E4"/>
    <w:rsid w:val="00F915AB"/>
    <w:rsid w:val="00F9174D"/>
    <w:rsid w:val="00F91906"/>
    <w:rsid w:val="00F91932"/>
    <w:rsid w:val="00F91CA2"/>
    <w:rsid w:val="00F91D05"/>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2002"/>
    <w:rsid w:val="00FA2526"/>
    <w:rsid w:val="00FA2663"/>
    <w:rsid w:val="00FA285F"/>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80D"/>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698"/>
    <w:rsid w:val="00FD7B69"/>
    <w:rsid w:val="00FD7D6B"/>
    <w:rsid w:val="00FE00DC"/>
    <w:rsid w:val="00FE0477"/>
    <w:rsid w:val="00FE0657"/>
    <w:rsid w:val="00FE15F5"/>
    <w:rsid w:val="00FE1728"/>
    <w:rsid w:val="00FE22FE"/>
    <w:rsid w:val="00FE2B7B"/>
    <w:rsid w:val="00FE2BC0"/>
    <w:rsid w:val="00FE3100"/>
    <w:rsid w:val="00FE3768"/>
    <w:rsid w:val="00FE3D47"/>
    <w:rsid w:val="00FE42C4"/>
    <w:rsid w:val="00FE4702"/>
    <w:rsid w:val="00FE47B0"/>
    <w:rsid w:val="00FE5077"/>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09511">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3903137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4592311">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6899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HR33RHYHUWRF-4-5754</_dlc_DocId>
    <_dlc_DocIdUrl xmlns="c06861ca-3f08-4d07-bff7-bb15bac121f4">
      <Url>https://projects.qualcomm.com/sites/pentari/_layouts/15/DocIdRedir.aspx?ID=HR33RHYHUWRF-4-5754</Url>
      <Description>HR33RHYHUWRF-4-5754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B65C4594-CF9E-47AC-837C-2EDA21548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2259</TotalTime>
  <Pages>8</Pages>
  <Words>3313</Words>
  <Characters>18887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235</cp:revision>
  <cp:lastPrinted>2017-09-11T19:05:00Z</cp:lastPrinted>
  <dcterms:created xsi:type="dcterms:W3CDTF">2017-03-24T00:10:00Z</dcterms:created>
  <dcterms:modified xsi:type="dcterms:W3CDTF">2017-09-12T04:17:00Z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1033810859</vt:i4>
  </property>
  <property fmtid="{D5CDD505-2E9C-101B-9397-08002B2CF9AE}" pid="3" name="_NewReviewCycle">
    <vt:lpwstr/>
  </property>
  <property fmtid="{D5CDD505-2E9C-101B-9397-08002B2CF9AE}" pid="4" name="_EmailSubject">
    <vt:lpwstr>RAN1 #89 Some HARQ contributions ready for review</vt:lpwstr>
  </property>
  <property fmtid="{D5CDD505-2E9C-101B-9397-08002B2CF9AE}" pid="5" name="_AuthorEmail">
    <vt:lpwstr>pang@qti.qualcomm.com</vt:lpwstr>
  </property>
  <property fmtid="{D5CDD505-2E9C-101B-9397-08002B2CF9AE}" pid="6" name="_AuthorEmailDisplayName">
    <vt:lpwstr>Peter Ang</vt:lpwstr>
  </property>
  <property fmtid="{D5CDD505-2E9C-101B-9397-08002B2CF9AE}" pid="7" name="_PreviousAdHocReviewCycleID">
    <vt:i4>1406540625</vt:i4>
  </property>
  <property fmtid="{D5CDD505-2E9C-101B-9397-08002B2CF9AE}" pid="8" name="_dlc_DocIdItemGuid">
    <vt:lpwstr>7c8ffcb2-9f76-42a4-90a0-83c1e73d2434</vt:lpwstr>
  </property>
  <property fmtid="{D5CDD505-2E9C-101B-9397-08002B2CF9AE}" pid="9" name="ContentTypeId">
    <vt:lpwstr>0x010100BC29BFD66497B943AA3B102F0C7B1355</vt:lpwstr>
  </property>
  <property fmtid="{D5CDD505-2E9C-101B-9397-08002B2CF9AE}" pid="10" name="_ReviewingToolsShownOnce">
    <vt:lpwstr/>
  </property>
</Properties>
</file>